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      The  configuration  file is similar to the command line, with the exception that an equal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     sign '=' must be used between key and value. Example:  -i=p1p2  or  --interface=p1p2  For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     options with no value (e.g. -v) the equal is also necessary. Example: "-v=" must be used.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    -G|--pid-path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     Specifies the path where the PID (process ID) is saved. This option is ignored when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     ntopng is controlled with systemd (e.g., service ntopng start).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-G=/var/run/ntopng.pid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    -e|--daemon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     This  parameter  causes ntop to become a daemon, i.e. a task which runs in the background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     without connection to a specific terminal. To use ntop other than as a casual  monitoring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     tool, you probably will want to use this option. This option is ignored when ntopng is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     controlled with systemd (e.g., service ntopng start)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#-e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    -i|--interface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     Specifies  the  network  interface or collector endpoint to be used by ntopng for network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     monitoring. On Unix you can specify both the interface name  (e.g.  lo)  or  the  numeric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     interface id as shown by ntopng -h. On Windows you must use the interface number instead.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     Note that you can specify -i multiple times in order to instruct ntopng to create  multi-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     ple interfaces.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#-i=eth1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#-i=eth2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    -w|--http-port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     Sets the HTTP port of the embedded web server.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/etc/ntopng/ntopng.conf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Interface để giám sát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--collector=zmq,tcp://127.0.0.1:5556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Port giao diện web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-w=3000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Mạng nội bộ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-m=192.168.12.0/24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Thư mục dữ liệu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-d=/var/lib/ntopng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    -m|--local-networks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     ntopng determines the ip addresses and netmasks for each active interface. Any traffic on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     those  networks  is considered local. This parameter allows the user to define additional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     networks and subnetworks whose traffic is also considered local in  ntopng  reports.  All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     other hosts are considered remote. If not specified the default is set to 192.168.1.0/24.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     Commas  separate  multiple  network  values.  Both netmask and CIDR notation may be used,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     even mixed together, for instance "131.114.21.0/24,10.0.0.0/255.0.0.0".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#-m=10.10.123.0/24,10.10.124.0/24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    -n|--dns-mode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     Sets the DNS address resolution mode: 0 - Decode DNS responses  and  resolve  only  local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     (-m)  numeric  IPs  1  -  Decode DNS responses and resolve all numeric IPs 2 - Decode DNS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     responses and don't resolve numeric IPs 3 - Don't decode DNS responses and don't  resolve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#-n=1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    -S|--sticky-hosts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     ntopng  periodically purges idle hosts. With this option you can modify this behaviour by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     telling ntopng not to purge the hosts specified by -S. This parameter requires  an  argu-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     ment  that  can  be  "all"  (Keep  all hosts in memory), "local" (Keep only local hosts),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     "remote" (Keep only remote hosts), "none" (Flush hosts when idle).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#-S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    -d|--data-dir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     Specifies the data directory (it must be writable by the user that is executing ntopng).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#-d=/var/lib/ntopng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    -q|--disable-autologout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     Disable web interface logout for inactivity.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-q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Define nDPI custom protocols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#--ndpi-protocols=/etc/ntopng/custom_protocols.txt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