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Multi-Agent Workflow Research Doc</w:t>
      </w:r>
    </w:p>
    <w:p>
      <w:pPr>
        <w:spacing w:after="40"/>
      </w:pPr>
      <w:r>
        <w:rPr>
          <w:color w:val="595959"/>
          <w:sz w:val="26"/>
          <w:szCs w:val="26"/>
        </w:rPr>
        <w:t xml:space="preserve">Clinical Trial Protocol Screening &amp; Patient Matching</w:t>
      </w:r>
    </w:p>
    <w:p>
      <w:pPr>
        <w:spacing w:after="20"/>
      </w:pPr>
      <w:r>
        <w:rPr>
          <w:color w:val="595959"/>
          <w:sz w:val="20"/>
          <w:szCs w:val="20"/>
        </w:rPr>
        <w:t xml:space="preserve">Diane Stukes  •  Pursuit L2, Week 5  •  Multi-Agent Systems</w:t>
      </w:r>
    </w:p>
    <w:p>
      <w:pPr>
        <w:spacing w:after="120"/>
      </w:pPr>
      <w:r>
        <w:rPr>
          <w:color w:val="595959"/>
          <w:sz w:val="20"/>
          <w:szCs w:val="20"/>
        </w:rPr>
        <w:t xml:space="preserve">October 22, 2026</w:t>
      </w:r>
    </w:p>
    <w:p>
      <w:pPr>
        <w:pBdr>
          <w:bottom w:val="single" w:color="1F4E79" w:sz="6"/>
        </w:pBdr>
        <w:spacing w:after="160"/>
      </w:pPr>
    </w:p>
    <w:p>
      <w:pPr>
        <w:spacing w:after="120" w:line="276"/>
      </w:pPr>
      <w:r>
        <w:rPr>
          <w:b/>
          <w:bCs/>
          <w:sz w:val="22"/>
          <w:szCs w:val="22"/>
        </w:rPr>
        <w:t xml:space="preserve">Goal: </w:t>
      </w:r>
      <w:r>
        <w:rPr>
          <w:sz w:val="22"/>
          <w:szCs w:val="22"/>
        </w:rPr>
        <w:t xml:space="preserve">Research, validate, and lock in a single multi-agent workflow that genuinely needs two or more specialized roles. Each candidate is judged against the four task criteria: </w:t>
      </w:r>
      <w:r>
        <w:rPr>
          <w:i/>
          <w:iCs/>
          <w:sz w:val="22"/>
          <w:szCs w:val="22"/>
        </w:rPr>
        <w:t xml:space="preserve">(a) a repeatable, well-scoped task, (b) realistic complexity for a first multi-agent build, (c) career relevance, and (d) a genuine need for 2+ specialized roles.</w:t>
      </w:r>
    </w:p>
    <w:p>
      <w:pPr>
        <w:pStyle w:val="Heading1"/>
        <w:spacing w:before="280" w:after="120"/>
      </w:pPr>
      <w:r>
        <w:rPr>
          <w:b/>
          <w:bCs/>
          <w:color w:val="1F4E79"/>
          <w:sz w:val="28"/>
          <w:szCs w:val="28"/>
        </w:rPr>
        <w:t xml:space="preserve">Step 1 — Document Setup</w:t>
      </w:r>
    </w:p>
    <w:p>
      <w:pPr>
        <w:spacing w:after="120" w:line="276"/>
      </w:pPr>
      <w:r>
        <w:rPr>
          <w:sz w:val="22"/>
          <w:szCs w:val="22"/>
        </w:rPr>
        <w:t xml:space="preserve">This document is the research artifact for the workflow-selection task. It records the brainstorm, the four-criteria evaluation of every candidate, the narrowing to a top two, the role-split sketches, and the final, defended decision. The chosen workflow is carried forward next cycle into handoff protocols and a PRD.</w:t>
      </w:r>
    </w:p>
    <w:p>
      <w:pPr>
        <w:pStyle w:val="Heading1"/>
        <w:spacing w:before="280" w:after="120"/>
      </w:pPr>
      <w:r>
        <w:rPr>
          <w:b/>
          <w:bCs/>
          <w:color w:val="1F4E79"/>
          <w:sz w:val="28"/>
          <w:szCs w:val="28"/>
        </w:rPr>
        <w:t xml:space="preserve">Step 2 — Brainstorm List</w:t>
      </w:r>
    </w:p>
    <w:p>
      <w:pPr>
        <w:spacing w:after="120" w:line="276"/>
      </w:pPr>
      <w:r>
        <w:rPr>
          <w:sz w:val="22"/>
          <w:szCs w:val="22"/>
        </w:rPr>
        <w:t xml:space="preserve">Four high-leverage workflows, each requiring 2+ specialized roles, mapped to the orchestration pattern that best fits its operational demands.</w:t>
      </w:r>
    </w:p>
    <w:p>
      <w:pPr>
        <w:pStyle w:val="Heading2"/>
        <w:spacing w:before="180" w:after="80"/>
      </w:pPr>
      <w:r>
        <w:rPr>
          <w:b/>
          <w:bCs/>
          <w:color w:val="1F4E79"/>
          <w:sz w:val="24"/>
          <w:szCs w:val="24"/>
        </w:rPr>
        <w:t xml:space="preserve">1. Clinical Trial Protocol Screening &amp; Patient Matching</w:t>
      </w:r>
    </w:p>
    <w:p>
      <w:pPr>
        <w:pStyle w:val="ListParagraph"/>
        <w:numPr>
          <w:ilvl w:val="0"/>
          <w:numId w:val="1"/>
        </w:numPr>
        <w:spacing w:after="90" w:line="276"/>
      </w:pPr>
      <w:r>
        <w:rPr>
          <w:b/>
          <w:bCs/>
          <w:sz w:val="22"/>
          <w:szCs w:val="22"/>
        </w:rPr>
        <w:t xml:space="preserve">Industry / area:</w:t>
      </w:r>
      <w:r>
        <w:rPr>
          <w:sz w:val="22"/>
          <w:szCs w:val="22"/>
        </w:rPr>
        <w:t xml:space="preserve"> Healthcare &amp; Life Sciences — clinical research operations.</w:t>
      </w:r>
    </w:p>
    <w:p>
      <w:pPr>
        <w:pStyle w:val="ListParagraph"/>
        <w:numPr>
          <w:ilvl w:val="0"/>
          <w:numId w:val="1"/>
        </w:numPr>
        <w:spacing w:after="90" w:line="276"/>
      </w:pPr>
      <w:r>
        <w:rPr>
          <w:b/>
          <w:bCs/>
          <w:sz w:val="22"/>
          <w:szCs w:val="22"/>
        </w:rPr>
        <w:t xml:space="preserve">Workflow:</w:t>
      </w:r>
      <w:r>
        <w:rPr>
          <w:sz w:val="22"/>
          <w:szCs w:val="22"/>
        </w:rPr>
        <w:t xml:space="preserve"> Parse a candidate’s structured medical data (lab results, medication list), extract and encode a trial’s inclusion/exclusion criteria, check eligibility, and draft a coordinator- or patient-facing explanation of the result.</w:t>
      </w:r>
    </w:p>
    <w:p>
      <w:pPr>
        <w:pStyle w:val="ListParagraph"/>
        <w:numPr>
          <w:ilvl w:val="0"/>
          <w:numId w:val="1"/>
        </w:numPr>
        <w:spacing w:after="90" w:line="276"/>
      </w:pPr>
      <w:r>
        <w:rPr>
          <w:b/>
          <w:bCs/>
          <w:sz w:val="22"/>
          <w:szCs w:val="22"/>
        </w:rPr>
        <w:t xml:space="preserve">Orchestration pattern:</w:t>
      </w:r>
      <w:r>
        <w:rPr>
          <w:sz w:val="22"/>
          <w:szCs w:val="22"/>
        </w:rPr>
        <w:t xml:space="preserve"> Sequential pipeline (prompt chaining) with a deterministic code gate between the two agents.</w:t>
      </w:r>
    </w:p>
    <w:p>
      <w:pPr>
        <w:pStyle w:val="Heading2"/>
        <w:spacing w:before="180" w:after="80"/>
      </w:pPr>
      <w:r>
        <w:rPr>
          <w:b/>
          <w:bCs/>
          <w:color w:val="1F4E79"/>
          <w:sz w:val="24"/>
          <w:szCs w:val="24"/>
        </w:rPr>
        <w:t xml:space="preserve">2. Cross-Border Freight Customs Clearance &amp; Documentation Audit</w:t>
      </w:r>
    </w:p>
    <w:p>
      <w:pPr>
        <w:pStyle w:val="ListParagraph"/>
        <w:numPr>
          <w:ilvl w:val="0"/>
          <w:numId w:val="1"/>
        </w:numPr>
        <w:spacing w:after="90" w:line="276"/>
      </w:pPr>
      <w:r>
        <w:rPr>
          <w:b/>
          <w:bCs/>
          <w:sz w:val="22"/>
          <w:szCs w:val="22"/>
        </w:rPr>
        <w:t xml:space="preserve">Industry / area:</w:t>
      </w:r>
      <w:r>
        <w:rPr>
          <w:sz w:val="22"/>
          <w:szCs w:val="22"/>
        </w:rPr>
        <w:t xml:space="preserve"> Logistics &amp; Supply Chain — global trade compliance.</w:t>
      </w:r>
    </w:p>
    <w:p>
      <w:pPr>
        <w:pStyle w:val="ListParagraph"/>
        <w:numPr>
          <w:ilvl w:val="0"/>
          <w:numId w:val="1"/>
        </w:numPr>
        <w:spacing w:after="90" w:line="276"/>
      </w:pPr>
      <w:r>
        <w:rPr>
          <w:b/>
          <w:bCs/>
          <w:sz w:val="22"/>
          <w:szCs w:val="22"/>
        </w:rPr>
        <w:t xml:space="preserve">Workflow:</w:t>
      </w:r>
      <w:r>
        <w:rPr>
          <w:sz w:val="22"/>
          <w:szCs w:val="22"/>
        </w:rPr>
        <w:t xml:space="preserve"> Ingest commercial invoices, bills of lading, and packing lists; classify items under Harmonized System (HS) codes; verify against changing tariffs and sanctions; draft customs-broker declarations.</w:t>
      </w:r>
    </w:p>
    <w:p>
      <w:pPr>
        <w:pStyle w:val="ListParagraph"/>
        <w:numPr>
          <w:ilvl w:val="0"/>
          <w:numId w:val="1"/>
        </w:numPr>
        <w:spacing w:after="90" w:line="276"/>
      </w:pPr>
      <w:r>
        <w:rPr>
          <w:b/>
          <w:bCs/>
          <w:sz w:val="22"/>
          <w:szCs w:val="22"/>
        </w:rPr>
        <w:t xml:space="preserve">Orchestration pattern:</w:t>
      </w:r>
      <w:r>
        <w:rPr>
          <w:sz w:val="22"/>
          <w:szCs w:val="22"/>
        </w:rPr>
        <w:t xml:space="preserve"> Orchestrator-Workers (supervisor), because a flagged sanction or tariff mismatch must dynamically re-route to a mitigation agent or a human broker.</w:t>
      </w:r>
    </w:p>
    <w:p>
      <w:pPr>
        <w:pStyle w:val="Heading2"/>
        <w:spacing w:before="180" w:after="80"/>
      </w:pPr>
      <w:r>
        <w:rPr>
          <w:b/>
          <w:bCs/>
          <w:color w:val="1F4E79"/>
          <w:sz w:val="24"/>
          <w:szCs w:val="24"/>
        </w:rPr>
        <w:t xml:space="preserve">3. Enterprise Software Vulnerability Patching &amp; Automated PR Review</w:t>
      </w:r>
    </w:p>
    <w:p>
      <w:pPr>
        <w:pStyle w:val="ListParagraph"/>
        <w:numPr>
          <w:ilvl w:val="0"/>
          <w:numId w:val="1"/>
        </w:numPr>
        <w:spacing w:after="90" w:line="276"/>
      </w:pPr>
      <w:r>
        <w:rPr>
          <w:b/>
          <w:bCs/>
          <w:sz w:val="22"/>
          <w:szCs w:val="22"/>
        </w:rPr>
        <w:t xml:space="preserve">Industry / area:</w:t>
      </w:r>
      <w:r>
        <w:rPr>
          <w:sz w:val="22"/>
          <w:szCs w:val="22"/>
        </w:rPr>
        <w:t xml:space="preserve"> Technology — DevSecOps &amp; Cybersecurity.</w:t>
      </w:r>
    </w:p>
    <w:p>
      <w:pPr>
        <w:pStyle w:val="ListParagraph"/>
        <w:numPr>
          <w:ilvl w:val="0"/>
          <w:numId w:val="1"/>
        </w:numPr>
        <w:spacing w:after="90" w:line="276"/>
      </w:pPr>
      <w:r>
        <w:rPr>
          <w:b/>
          <w:bCs/>
          <w:sz w:val="22"/>
          <w:szCs w:val="22"/>
        </w:rPr>
        <w:t xml:space="preserve">Workflow:</w:t>
      </w:r>
      <w:r>
        <w:rPr>
          <w:sz w:val="22"/>
          <w:szCs w:val="22"/>
        </w:rPr>
        <w:t xml:space="preserve"> A static-analysis tool flags a vulnerability; the system analyzes the code, writes a patch, runs unit tests in a sandbox, and drafts a pull-request description.</w:t>
      </w:r>
    </w:p>
    <w:p>
      <w:pPr>
        <w:pStyle w:val="ListParagraph"/>
        <w:numPr>
          <w:ilvl w:val="0"/>
          <w:numId w:val="1"/>
        </w:numPr>
        <w:spacing w:after="90" w:line="276"/>
      </w:pPr>
      <w:r>
        <w:rPr>
          <w:b/>
          <w:bCs/>
          <w:sz w:val="22"/>
          <w:szCs w:val="22"/>
        </w:rPr>
        <w:t xml:space="preserve">Orchestration pattern:</w:t>
      </w:r>
      <w:r>
        <w:rPr>
          <w:sz w:val="22"/>
          <w:szCs w:val="22"/>
        </w:rPr>
        <w:t xml:space="preserve"> Peer-to-peer negotiation (choreography) — a Patcher (writer) and a Sandbox Tester (critic) pass code and stack traces back and forth until tests pass.</w:t>
      </w:r>
    </w:p>
    <w:p>
      <w:pPr>
        <w:pStyle w:val="Heading2"/>
        <w:spacing w:before="180" w:after="80"/>
      </w:pPr>
      <w:r>
        <w:rPr>
          <w:b/>
          <w:bCs/>
          <w:color w:val="1F4E79"/>
          <w:sz w:val="24"/>
          <w:szCs w:val="24"/>
        </w:rPr>
        <w:t xml:space="preserve">4. High-Net-Worth Wealth-Management Portfolio Rebalancing</w:t>
      </w:r>
    </w:p>
    <w:p>
      <w:pPr>
        <w:pStyle w:val="ListParagraph"/>
        <w:numPr>
          <w:ilvl w:val="0"/>
          <w:numId w:val="1"/>
        </w:numPr>
        <w:spacing w:after="90" w:line="276"/>
      </w:pPr>
      <w:r>
        <w:rPr>
          <w:b/>
          <w:bCs/>
          <w:sz w:val="22"/>
          <w:szCs w:val="22"/>
        </w:rPr>
        <w:t xml:space="preserve">Industry / area:</w:t>
      </w:r>
      <w:r>
        <w:rPr>
          <w:sz w:val="22"/>
          <w:szCs w:val="22"/>
        </w:rPr>
        <w:t xml:space="preserve"> Finance — wealth management &amp; tax planning.</w:t>
      </w:r>
    </w:p>
    <w:p>
      <w:pPr>
        <w:pStyle w:val="ListParagraph"/>
        <w:numPr>
          <w:ilvl w:val="0"/>
          <w:numId w:val="1"/>
        </w:numPr>
        <w:spacing w:after="90" w:line="276"/>
      </w:pPr>
      <w:r>
        <w:rPr>
          <w:b/>
          <w:bCs/>
          <w:sz w:val="22"/>
          <w:szCs w:val="22"/>
        </w:rPr>
        <w:t xml:space="preserve">Workflow:</w:t>
      </w:r>
      <w:r>
        <w:rPr>
          <w:sz w:val="22"/>
          <w:szCs w:val="22"/>
        </w:rPr>
        <w:t xml:space="preserve"> On a quarterly trigger, pull asset performance and macro trends, review a client’s multi-entity tax profile, compute an allocation strategy, and draft an advisor summary.</w:t>
      </w:r>
    </w:p>
    <w:p>
      <w:pPr>
        <w:pStyle w:val="ListParagraph"/>
        <w:numPr>
          <w:ilvl w:val="0"/>
          <w:numId w:val="1"/>
        </w:numPr>
        <w:spacing w:after="90" w:line="276"/>
      </w:pPr>
      <w:r>
        <w:rPr>
          <w:b/>
          <w:bCs/>
          <w:sz w:val="22"/>
          <w:szCs w:val="22"/>
        </w:rPr>
        <w:t xml:space="preserve">Orchestration pattern:</w:t>
      </w:r>
      <w:r>
        <w:rPr>
          <w:sz w:val="22"/>
          <w:szCs w:val="22"/>
        </w:rPr>
        <w:t xml:space="preserve"> Fork-join pipeline feeding a deterministic portfolio-math optimizer; market analysis and tax analysis run in parallel, then pour into code.</w:t>
      </w:r>
    </w:p>
    <w:p>
      <w:pPr>
        <w:pStyle w:val="Heading1"/>
        <w:spacing w:before="280" w:after="120"/>
      </w:pPr>
      <w:r>
        <w:rPr>
          <w:b/>
          <w:bCs/>
          <w:color w:val="1F4E79"/>
          <w:sz w:val="28"/>
          <w:szCs w:val="28"/>
        </w:rPr>
        <w:t xml:space="preserve">Step 3 — Check Each Option Against the Four Criteria</w:t>
      </w:r>
    </w:p>
    <w:p>
      <w:pPr>
        <w:spacing w:after="120" w:line="276"/>
      </w:pPr>
      <w:r>
        <w:rPr>
          <w:sz w:val="22"/>
          <w:szCs w:val="22"/>
        </w:rPr>
        <w:t xml:space="preserve">Ratings use the four actual task criteria (a–d). Short ratings below; reasoning follows.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340"/>
        <w:gridCol w:w="1340"/>
        <w:gridCol w:w="1340"/>
        <w:gridCol w:w="1340"/>
        <w:gridCol w:w="1400"/>
      </w:tblGrid>
      <w:tr>
        <w:tc>
          <w:tcPr>
            <w:tcW w:type="dxa" w:w="2600"/>
            <w:shd w:fill="1F4E79" w:color="auto" w:val="clear"/>
            <w:tcMar>
              <w:top w:type="dxa" w:w="60"/>
              <w:left w:type="dxa" w:w="90"/>
              <w:bottom w:type="dxa" w:w="60"/>
              <w:right w:type="dxa" w:w="90"/>
            </w:tcMar>
          </w:tcPr>
          <w:p>
            <w:pPr>
              <w:jc w:val="left"/>
            </w:pPr>
            <w:r>
              <w:rPr>
                <w:b/>
                <w:bCs/>
                <w:color w:val="FFFFFF"/>
                <w:sz w:val="19"/>
                <w:szCs w:val="19"/>
              </w:rPr>
              <w:t xml:space="preserve">Workflow</w:t>
            </w:r>
          </w:p>
        </w:tc>
        <w:tc>
          <w:tcPr>
            <w:tcW w:type="dxa" w:w="1340"/>
            <w:shd w:fill="1F4E79" w:color="auto" w:val="clear"/>
            <w:tcMar>
              <w:top w:type="dxa" w:w="60"/>
              <w:left w:type="dxa" w:w="90"/>
              <w:bottom w:type="dxa" w:w="60"/>
              <w:right w:type="dxa" w:w="90"/>
            </w:tcMar>
          </w:tcPr>
          <w:p>
            <w:pPr>
              <w:jc w:val="center"/>
            </w:pPr>
            <w:r>
              <w:rPr>
                <w:b/>
                <w:bCs/>
                <w:color w:val="FFFFFF"/>
                <w:sz w:val="19"/>
                <w:szCs w:val="19"/>
              </w:rPr>
              <w:t xml:space="preserve">(a) Scoped &amp; repeatable</w:t>
            </w:r>
          </w:p>
        </w:tc>
        <w:tc>
          <w:tcPr>
            <w:tcW w:type="dxa" w:w="1340"/>
            <w:shd w:fill="1F4E79" w:color="auto" w:val="clear"/>
            <w:tcMar>
              <w:top w:type="dxa" w:w="60"/>
              <w:left w:type="dxa" w:w="90"/>
              <w:bottom w:type="dxa" w:w="60"/>
              <w:right w:type="dxa" w:w="90"/>
            </w:tcMar>
          </w:tcPr>
          <w:p>
            <w:pPr>
              <w:jc w:val="center"/>
            </w:pPr>
            <w:r>
              <w:rPr>
                <w:b/>
                <w:bCs/>
                <w:color w:val="FFFFFF"/>
                <w:sz w:val="19"/>
                <w:szCs w:val="19"/>
              </w:rPr>
              <w:t xml:space="preserve">(b) Realistic first build</w:t>
            </w:r>
          </w:p>
        </w:tc>
        <w:tc>
          <w:tcPr>
            <w:tcW w:type="dxa" w:w="1340"/>
            <w:shd w:fill="1F4E79" w:color="auto" w:val="clear"/>
            <w:tcMar>
              <w:top w:type="dxa" w:w="60"/>
              <w:left w:type="dxa" w:w="90"/>
              <w:bottom w:type="dxa" w:w="60"/>
              <w:right w:type="dxa" w:w="90"/>
            </w:tcMar>
          </w:tcPr>
          <w:p>
            <w:pPr>
              <w:jc w:val="center"/>
            </w:pPr>
            <w:r>
              <w:rPr>
                <w:b/>
                <w:bCs/>
                <w:color w:val="FFFFFF"/>
                <w:sz w:val="19"/>
                <w:szCs w:val="19"/>
              </w:rPr>
              <w:t xml:space="preserve">(c) Career relevance</w:t>
            </w:r>
          </w:p>
        </w:tc>
        <w:tc>
          <w:tcPr>
            <w:tcW w:type="dxa" w:w="1340"/>
            <w:shd w:fill="1F4E79" w:color="auto" w:val="clear"/>
            <w:tcMar>
              <w:top w:type="dxa" w:w="60"/>
              <w:left w:type="dxa" w:w="90"/>
              <w:bottom w:type="dxa" w:w="60"/>
              <w:right w:type="dxa" w:w="90"/>
            </w:tcMar>
          </w:tcPr>
          <w:p>
            <w:pPr>
              <w:jc w:val="center"/>
            </w:pPr>
            <w:r>
              <w:rPr>
                <w:b/>
                <w:bCs/>
                <w:color w:val="FFFFFF"/>
                <w:sz w:val="19"/>
                <w:szCs w:val="19"/>
              </w:rPr>
              <w:t xml:space="preserve">(d) Needs 2+ roles</w:t>
            </w:r>
          </w:p>
        </w:tc>
        <w:tc>
          <w:tcPr>
            <w:tcW w:type="dxa" w:w="1400"/>
            <w:shd w:fill="1F4E79" w:color="auto" w:val="clear"/>
            <w:tcMar>
              <w:top w:type="dxa" w:w="60"/>
              <w:left w:type="dxa" w:w="90"/>
              <w:bottom w:type="dxa" w:w="60"/>
              <w:right w:type="dxa" w:w="90"/>
            </w:tcMar>
          </w:tcPr>
          <w:p>
            <w:pPr>
              <w:jc w:val="center"/>
            </w:pPr>
            <w:r>
              <w:rPr>
                <w:b/>
                <w:bCs/>
                <w:color w:val="FFFFFF"/>
                <w:sz w:val="19"/>
                <w:szCs w:val="19"/>
              </w:rPr>
              <w:t xml:space="preserve">Verdict</w:t>
            </w:r>
          </w:p>
        </w:tc>
      </w:tr>
      <w:tr>
        <w:tc>
          <w:tcPr>
            <w:tcW w:type="dxa" w:w="2600"/>
            <w:shd w:fill="auto" w:color="auto" w:val="clear"/>
            <w:tcMar>
              <w:top w:type="dxa" w:w="60"/>
              <w:left w:type="dxa" w:w="90"/>
              <w:bottom w:type="dxa" w:w="60"/>
              <w:right w:type="dxa" w:w="90"/>
            </w:tcMar>
          </w:tcPr>
          <w:p>
            <w:pPr>
              <w:jc w:val="left"/>
            </w:pPr>
            <w:r>
              <w:rPr>
                <w:b/>
                <w:bCs/>
                <w:color w:val="000000"/>
                <w:sz w:val="19"/>
                <w:szCs w:val="19"/>
              </w:rPr>
              <w:t xml:space="preserve">1. Clinical Trial Protocol Screening &amp; Patient Matching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 (once scoped)</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Yes</w:t>
            </w:r>
          </w:p>
        </w:tc>
        <w:tc>
          <w:tcPr>
            <w:tcW w:type="dxa" w:w="1400"/>
            <w:shd w:fill="auto" w:color="auto" w:val="clear"/>
            <w:tcMar>
              <w:top w:type="dxa" w:w="60"/>
              <w:left w:type="dxa" w:w="90"/>
              <w:bottom w:type="dxa" w:w="60"/>
              <w:right w:type="dxa" w:w="90"/>
            </w:tcMar>
          </w:tcPr>
          <w:p>
            <w:pPr>
              <w:jc w:val="center"/>
            </w:pPr>
            <w:r>
              <w:rPr>
                <w:b/>
                <w:bCs/>
                <w:color w:val="000000"/>
                <w:sz w:val="19"/>
                <w:szCs w:val="19"/>
              </w:rPr>
              <w:t xml:space="preserve">TOP 2 — CHOSEN</w:t>
            </w:r>
          </w:p>
        </w:tc>
      </w:tr>
      <w:tr>
        <w:tc>
          <w:tcPr>
            <w:tcW w:type="dxa" w:w="2600"/>
            <w:shd w:fill="auto" w:color="auto" w:val="clear"/>
            <w:tcMar>
              <w:top w:type="dxa" w:w="60"/>
              <w:left w:type="dxa" w:w="90"/>
              <w:bottom w:type="dxa" w:w="60"/>
              <w:right w:type="dxa" w:w="90"/>
            </w:tcMar>
          </w:tcPr>
          <w:p>
            <w:pPr>
              <w:jc w:val="left"/>
            </w:pPr>
            <w:r>
              <w:rPr>
                <w:b/>
                <w:bCs/>
                <w:color w:val="000000"/>
                <w:sz w:val="19"/>
                <w:szCs w:val="19"/>
              </w:rPr>
              <w:t xml:space="preserve">2. Cross-Border Freight Customs Clearance</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Weak</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Low</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Yes</w:t>
            </w:r>
          </w:p>
        </w:tc>
        <w:tc>
          <w:tcPr>
            <w:tcW w:type="dxa" w:w="1400"/>
            <w:shd w:fill="auto" w:color="auto" w:val="clear"/>
            <w:tcMar>
              <w:top w:type="dxa" w:w="60"/>
              <w:left w:type="dxa" w:w="90"/>
              <w:bottom w:type="dxa" w:w="60"/>
              <w:right w:type="dxa" w:w="90"/>
            </w:tcMar>
          </w:tcPr>
          <w:p>
            <w:pPr>
              <w:jc w:val="center"/>
            </w:pPr>
            <w:r>
              <w:rPr>
                <w:b w:val="false"/>
                <w:bCs w:val="false"/>
                <w:color w:val="000000"/>
                <w:sz w:val="19"/>
                <w:szCs w:val="19"/>
              </w:rPr>
              <w:t xml:space="preserve">Drop</w:t>
            </w:r>
          </w:p>
        </w:tc>
      </w:tr>
      <w:tr>
        <w:tc>
          <w:tcPr>
            <w:tcW w:type="dxa" w:w="2600"/>
            <w:shd w:fill="auto" w:color="auto" w:val="clear"/>
            <w:tcMar>
              <w:top w:type="dxa" w:w="60"/>
              <w:left w:type="dxa" w:w="90"/>
              <w:bottom w:type="dxa" w:w="60"/>
              <w:right w:type="dxa" w:w="90"/>
            </w:tcMar>
          </w:tcPr>
          <w:p>
            <w:pPr>
              <w:jc w:val="left"/>
            </w:pPr>
            <w:r>
              <w:rPr>
                <w:b/>
                <w:bCs/>
                <w:color w:val="000000"/>
                <w:sz w:val="19"/>
                <w:szCs w:val="19"/>
              </w:rPr>
              <w:t xml:space="preserve">3. Enterprise Vulnerability Patching (DevSecOps)</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Risky</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Medium</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Yes</w:t>
            </w:r>
          </w:p>
        </w:tc>
        <w:tc>
          <w:tcPr>
            <w:tcW w:type="dxa" w:w="1400"/>
            <w:shd w:fill="auto" w:color="auto" w:val="clear"/>
            <w:tcMar>
              <w:top w:type="dxa" w:w="60"/>
              <w:left w:type="dxa" w:w="90"/>
              <w:bottom w:type="dxa" w:w="60"/>
              <w:right w:type="dxa" w:w="90"/>
            </w:tcMar>
          </w:tcPr>
          <w:p>
            <w:pPr>
              <w:jc w:val="center"/>
            </w:pPr>
            <w:r>
              <w:rPr>
                <w:b/>
                <w:bCs/>
                <w:color w:val="000000"/>
                <w:sz w:val="19"/>
                <w:szCs w:val="19"/>
              </w:rPr>
              <w:t xml:space="preserve">TOP 2</w:t>
            </w:r>
          </w:p>
        </w:tc>
      </w:tr>
      <w:tr>
        <w:tc>
          <w:tcPr>
            <w:tcW w:type="dxa" w:w="2600"/>
            <w:shd w:fill="auto" w:color="auto" w:val="clear"/>
            <w:tcMar>
              <w:top w:type="dxa" w:w="60"/>
              <w:left w:type="dxa" w:w="90"/>
              <w:bottom w:type="dxa" w:w="60"/>
              <w:right w:type="dxa" w:w="90"/>
            </w:tcMar>
          </w:tcPr>
          <w:p>
            <w:pPr>
              <w:jc w:val="left"/>
            </w:pPr>
            <w:r>
              <w:rPr>
                <w:b/>
                <w:bCs/>
                <w:color w:val="000000"/>
                <w:sz w:val="19"/>
                <w:szCs w:val="19"/>
              </w:rPr>
              <w:t xml:space="preserve">4. Wealth-Management Portfolio Rebalancing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Strong</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Moderate</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Low</w:t>
            </w:r>
          </w:p>
        </w:tc>
        <w:tc>
          <w:tcPr>
            <w:tcW w:type="dxa" w:w="1340"/>
            <w:shd w:fill="auto" w:color="auto" w:val="clear"/>
            <w:tcMar>
              <w:top w:type="dxa" w:w="60"/>
              <w:left w:type="dxa" w:w="90"/>
              <w:bottom w:type="dxa" w:w="60"/>
              <w:right w:type="dxa" w:w="90"/>
            </w:tcMar>
          </w:tcPr>
          <w:p>
            <w:pPr>
              <w:jc w:val="center"/>
            </w:pPr>
            <w:r>
              <w:rPr>
                <w:b w:val="false"/>
                <w:bCs w:val="false"/>
                <w:color w:val="000000"/>
                <w:sz w:val="19"/>
                <w:szCs w:val="19"/>
              </w:rPr>
              <w:t xml:space="preserve">Weak</w:t>
            </w:r>
          </w:p>
        </w:tc>
        <w:tc>
          <w:tcPr>
            <w:tcW w:type="dxa" w:w="1400"/>
            <w:shd w:fill="auto" w:color="auto" w:val="clear"/>
            <w:tcMar>
              <w:top w:type="dxa" w:w="60"/>
              <w:left w:type="dxa" w:w="90"/>
              <w:bottom w:type="dxa" w:w="60"/>
              <w:right w:type="dxa" w:w="90"/>
            </w:tcMar>
          </w:tcPr>
          <w:p>
            <w:pPr>
              <w:jc w:val="center"/>
            </w:pPr>
            <w:r>
              <w:rPr>
                <w:b w:val="false"/>
                <w:bCs w:val="false"/>
                <w:color w:val="000000"/>
                <w:sz w:val="19"/>
                <w:szCs w:val="19"/>
              </w:rPr>
              <w:t xml:space="preserve">Drop</w:t>
            </w:r>
          </w:p>
        </w:tc>
      </w:tr>
    </w:tbl>
    <w:p>
      <w:pPr>
        <w:spacing w:after="100"/>
      </w:pPr>
    </w:p>
    <w:p>
      <w:pPr>
        <w:pStyle w:val="Heading2"/>
        <w:spacing w:before="180" w:after="80"/>
      </w:pPr>
      <w:r>
        <w:rPr>
          <w:b/>
          <w:bCs/>
          <w:color w:val="1F4E79"/>
          <w:sz w:val="24"/>
          <w:szCs w:val="24"/>
        </w:rPr>
        <w:t xml:space="preserve">Reasoning</w:t>
      </w:r>
    </w:p>
    <w:p>
      <w:pPr>
        <w:pStyle w:val="ListParagraph"/>
        <w:numPr>
          <w:ilvl w:val="0"/>
          <w:numId w:val="1"/>
        </w:numPr>
        <w:spacing w:after="90" w:line="276"/>
      </w:pPr>
      <w:r>
        <w:rPr>
          <w:b/>
          <w:bCs/>
          <w:sz w:val="22"/>
          <w:szCs w:val="22"/>
        </w:rPr>
        <w:t xml:space="preserve">Clinical Trial Screening — </w:t>
      </w:r>
      <w:r>
        <w:rPr>
          <w:sz w:val="22"/>
          <w:szCs w:val="22"/>
        </w:rPr>
        <w:t xml:space="preserve">the task shape is identical every run (patient record + protocol → eligibility result), so it is highly repeatable (a). It is dangerously complex if it tries to read raw clinical narratives, but becomes a clean first build once scoped to structured data (b — see Step 6). It maps directly onto a technical-writer/trainer skill set (c), and it needs two genuinely different linguistic roles across a code gate (d).</w:t>
      </w:r>
    </w:p>
    <w:p>
      <w:pPr>
        <w:pStyle w:val="ListParagraph"/>
        <w:numPr>
          <w:ilvl w:val="0"/>
          <w:numId w:val="1"/>
        </w:numPr>
        <w:spacing w:after="90" w:line="276"/>
      </w:pPr>
      <w:r>
        <w:rPr>
          <w:b/>
          <w:bCs/>
          <w:sz w:val="22"/>
          <w:szCs w:val="22"/>
        </w:rPr>
        <w:t xml:space="preserve">Freight Customs — </w:t>
      </w:r>
      <w:r>
        <w:rPr>
          <w:sz w:val="22"/>
          <w:szCs w:val="22"/>
        </w:rPr>
        <w:t xml:space="preserve">repeatable and clearly multi-role, but the supervisor pattern with dynamic re-delegation, live tariff/sanction feeds, and human-in-the-loop routing is too much moving infrastructure for a first build (b fails).</w:t>
      </w:r>
    </w:p>
    <w:p>
      <w:pPr>
        <w:pStyle w:val="ListParagraph"/>
        <w:numPr>
          <w:ilvl w:val="0"/>
          <w:numId w:val="1"/>
        </w:numPr>
        <w:spacing w:after="90" w:line="276"/>
      </w:pPr>
      <w:r>
        <w:rPr>
          <w:b/>
          <w:bCs/>
          <w:sz w:val="22"/>
          <w:szCs w:val="22"/>
        </w:rPr>
        <w:t xml:space="preserve">Vulnerability Patching — </w:t>
      </w:r>
      <w:r>
        <w:rPr>
          <w:sz w:val="22"/>
          <w:szCs w:val="22"/>
        </w:rPr>
        <w:t xml:space="preserve">a compelling frontier project with a clear writer/critic split, but the peer-to-peer debugging loop needs bulletproof exit conditions and a secure execution sandbox. The risk of an unbounded, resource-burning loop makes it risky, not ideal, for a first build (b).</w:t>
      </w:r>
    </w:p>
    <w:p>
      <w:pPr>
        <w:pStyle w:val="ListParagraph"/>
        <w:numPr>
          <w:ilvl w:val="0"/>
          <w:numId w:val="1"/>
        </w:numPr>
        <w:spacing w:after="90" w:line="276"/>
      </w:pPr>
      <w:r>
        <w:rPr>
          <w:b/>
          <w:bCs/>
          <w:sz w:val="22"/>
          <w:szCs w:val="22"/>
        </w:rPr>
        <w:t xml:space="preserve">Wealth Rebalancing — </w:t>
      </w:r>
      <w:r>
        <w:rPr>
          <w:sz w:val="22"/>
          <w:szCs w:val="22"/>
        </w:rPr>
        <w:t xml:space="preserve">repeatable, but the two forked lanes mostly feed a math engine rather than hand off to each other, so the 2+ role need is weak (d), and reliance on live market data lowers feasibility.</w:t>
      </w:r>
    </w:p>
    <w:p>
      <w:pPr>
        <w:pStyle w:val="Heading1"/>
        <w:spacing w:before="280" w:after="120"/>
      </w:pPr>
      <w:r>
        <w:rPr>
          <w:b/>
          <w:bCs/>
          <w:color w:val="1F4E79"/>
          <w:sz w:val="28"/>
          <w:szCs w:val="28"/>
        </w:rPr>
        <w:t xml:space="preserve">Step 4 — Narrow to Top 2</w:t>
      </w:r>
    </w:p>
    <w:p>
      <w:pPr>
        <w:spacing w:after="120" w:line="276"/>
      </w:pPr>
      <w:r>
        <w:rPr>
          <w:sz w:val="22"/>
          <w:szCs w:val="22"/>
        </w:rPr>
        <w:t xml:space="preserve">The two finalists are </w:t>
      </w:r>
      <w:r>
        <w:rPr>
          <w:b/>
          <w:bCs/>
          <w:sz w:val="22"/>
          <w:szCs w:val="22"/>
        </w:rPr>
        <w:t xml:space="preserve">#1 Clinical Trial Protocol Screening</w:t>
      </w:r>
      <w:r>
        <w:rPr>
          <w:sz w:val="22"/>
          <w:szCs w:val="22"/>
        </w:rPr>
        <w:t xml:space="preserve"> and </w:t>
      </w:r>
      <w:r>
        <w:rPr>
          <w:b/>
          <w:bCs/>
          <w:sz w:val="22"/>
          <w:szCs w:val="22"/>
        </w:rPr>
        <w:t xml:space="preserve">#3 Enterprise Vulnerability Patching</w:t>
      </w:r>
      <w:r>
        <w:rPr>
          <w:sz w:val="22"/>
          <w:szCs w:val="22"/>
        </w:rPr>
        <w:t xml:space="preserve">. Both have a crisp role split and real stakes. Customs and Wealth are dropped — Customs on feasibility (criterion b), Wealth on a weak two-agent justification (criterion d).</w:t>
      </w:r>
    </w:p>
    <w:p>
      <w:pPr>
        <w:pStyle w:val="Heading1"/>
        <w:spacing w:before="280" w:after="120"/>
      </w:pPr>
      <w:r>
        <w:rPr>
          <w:b/>
          <w:bCs/>
          <w:color w:val="1F4E79"/>
          <w:sz w:val="28"/>
          <w:szCs w:val="28"/>
        </w:rPr>
        <w:t xml:space="preserve">Step 5 — Role-Split Sketches (Top 2)</w:t>
      </w:r>
    </w:p>
    <w:p>
      <w:pPr>
        <w:pStyle w:val="Heading2"/>
        <w:spacing w:before="180" w:after="80"/>
      </w:pPr>
      <w:r>
        <w:rPr>
          <w:b/>
          <w:bCs/>
          <w:color w:val="1F4E79"/>
          <w:sz w:val="24"/>
          <w:szCs w:val="24"/>
        </w:rPr>
        <w:t xml:space="preserve">Finalist A — Clinical Trial Protocol Screening</w:t>
      </w:r>
    </w:p>
    <w:p>
      <w:pPr>
        <w:pStyle w:val="ListParagraph"/>
        <w:numPr>
          <w:ilvl w:val="0"/>
          <w:numId w:val="1"/>
        </w:numPr>
        <w:spacing w:after="90" w:line="276"/>
      </w:pPr>
      <w:r>
        <w:rPr>
          <w:b/>
          <w:bCs/>
          <w:sz w:val="22"/>
          <w:szCs w:val="22"/>
        </w:rPr>
        <w:t xml:space="preserve">Agent 1 — Protocol Architect (literal / adversarial persona):</w:t>
      </w:r>
      <w:r>
        <w:rPr>
          <w:sz w:val="22"/>
          <w:szCs w:val="22"/>
        </w:rPr>
        <w:t xml:space="preserve"> reads the trial’s unstructured inclusion/exclusion prose and translates it into a structured, machine-readable validation schema (JSON), treating the criteria like a strict contract.</w:t>
      </w:r>
    </w:p>
    <w:p>
      <w:pPr>
        <w:pStyle w:val="ListParagraph"/>
        <w:numPr>
          <w:ilvl w:val="0"/>
          <w:numId w:val="1"/>
        </w:numPr>
        <w:spacing w:after="90" w:line="276"/>
      </w:pPr>
      <w:r>
        <w:rPr>
          <w:b/>
          <w:bCs/>
          <w:sz w:val="22"/>
          <w:szCs w:val="22"/>
        </w:rPr>
        <w:t xml:space="preserve">Deterministic Code Gate — the Matcher (not an agent):</w:t>
      </w:r>
      <w:r>
        <w:rPr>
          <w:sz w:val="22"/>
          <w:szCs w:val="22"/>
        </w:rPr>
        <w:t xml:space="preserve"> takes the patient’s structured labs/medications plus Agent 1’s schema and runs the binary/numeric checks with 100% precision, emitting pass/fail plus a specific reason code.</w:t>
      </w:r>
    </w:p>
    <w:p>
      <w:pPr>
        <w:pStyle w:val="ListParagraph"/>
        <w:numPr>
          <w:ilvl w:val="0"/>
          <w:numId w:val="1"/>
        </w:numPr>
        <w:spacing w:after="90" w:line="276"/>
      </w:pPr>
      <w:r>
        <w:rPr>
          <w:b/>
          <w:bCs/>
          <w:sz w:val="22"/>
          <w:szCs w:val="22"/>
        </w:rPr>
        <w:t xml:space="preserve">Agent 2 — Patient/Coordinator Translator (empathetic persona):</w:t>
      </w:r>
      <w:r>
        <w:rPr>
          <w:sz w:val="22"/>
          <w:szCs w:val="22"/>
        </w:rPr>
        <w:t xml:space="preserve"> takes the reason code, the patient data, and the original protocol text and drafts a clear, plain-language explanation for a human coordinator or patient.</w:t>
      </w:r>
    </w:p>
    <w:p>
      <w:pPr>
        <w:pStyle w:val="Heading2"/>
        <w:spacing w:before="180" w:after="80"/>
      </w:pPr>
      <w:r>
        <w:rPr>
          <w:b/>
          <w:bCs/>
          <w:color w:val="1F4E79"/>
          <w:sz w:val="24"/>
          <w:szCs w:val="24"/>
        </w:rPr>
        <w:t xml:space="preserve">Finalist B — Enterprise Vulnerability Patching</w:t>
      </w:r>
    </w:p>
    <w:p>
      <w:pPr>
        <w:pStyle w:val="ListParagraph"/>
        <w:numPr>
          <w:ilvl w:val="0"/>
          <w:numId w:val="1"/>
        </w:numPr>
        <w:spacing w:after="90" w:line="276"/>
      </w:pPr>
      <w:r>
        <w:rPr>
          <w:b/>
          <w:bCs/>
          <w:sz w:val="22"/>
          <w:szCs w:val="22"/>
        </w:rPr>
        <w:t xml:space="preserve">Agent 1 — Patcher / Writer:</w:t>
      </w:r>
      <w:r>
        <w:rPr>
          <w:sz w:val="22"/>
          <w:szCs w:val="22"/>
        </w:rPr>
        <w:t xml:space="preserve"> analyzes the flagged code and writes a candidate fix.</w:t>
      </w:r>
    </w:p>
    <w:p>
      <w:pPr>
        <w:pStyle w:val="ListParagraph"/>
        <w:numPr>
          <w:ilvl w:val="0"/>
          <w:numId w:val="1"/>
        </w:numPr>
        <w:spacing w:after="90" w:line="276"/>
      </w:pPr>
      <w:r>
        <w:rPr>
          <w:b/>
          <w:bCs/>
          <w:sz w:val="22"/>
          <w:szCs w:val="22"/>
        </w:rPr>
        <w:t xml:space="preserve">Agent 2 — Sandbox Tester / Critic:</w:t>
      </w:r>
      <w:r>
        <w:rPr>
          <w:sz w:val="22"/>
          <w:szCs w:val="22"/>
        </w:rPr>
        <w:t xml:space="preserve"> runs the patch in a secure container, and returns stack traces to the Patcher on failure.</w:t>
      </w:r>
    </w:p>
    <w:p>
      <w:pPr>
        <w:pStyle w:val="ListParagraph"/>
        <w:numPr>
          <w:ilvl w:val="0"/>
          <w:numId w:val="1"/>
        </w:numPr>
        <w:spacing w:after="90" w:line="276"/>
      </w:pPr>
      <w:r>
        <w:rPr>
          <w:b/>
          <w:bCs/>
          <w:sz w:val="22"/>
          <w:szCs w:val="22"/>
        </w:rPr>
        <w:t xml:space="preserve">Shared control — a bounded loop with a circuit breaker:</w:t>
      </w:r>
      <w:r>
        <w:rPr>
          <w:sz w:val="22"/>
          <w:szCs w:val="22"/>
        </w:rPr>
        <w:t xml:space="preserve"> the two negotiate iteratively until tests pass or a hard stop condition fires, preventing an endless, resource-burning debug loop.</w:t>
      </w:r>
    </w:p>
    <w:p>
      <w:r>
        <w:br w:type="page"/>
      </w:r>
    </w:p>
    <w:p>
      <w:pPr>
        <w:pStyle w:val="Heading1"/>
        <w:spacing w:before="280" w:after="120"/>
      </w:pPr>
      <w:r>
        <w:rPr>
          <w:b/>
          <w:bCs/>
          <w:color w:val="1F4E79"/>
          <w:sz w:val="28"/>
          <w:szCs w:val="28"/>
        </w:rPr>
        <w:t xml:space="preserve">Step 6 — Final Decision &amp; Defense</w:t>
      </w:r>
    </w:p>
    <w:p>
      <w:pPr>
        <w:spacing w:after="120" w:line="276"/>
      </w:pPr>
      <w:r>
        <w:rPr>
          <w:b/>
          <w:bCs/>
          <w:color w:val="1F4E79"/>
          <w:sz w:val="24"/>
          <w:szCs w:val="24"/>
        </w:rPr>
        <w:t xml:space="preserve">Decision: </w:t>
      </w:r>
      <w:r>
        <w:rPr>
          <w:b/>
          <w:bCs/>
          <w:sz w:val="24"/>
          <w:szCs w:val="24"/>
        </w:rPr>
        <w:t xml:space="preserve">Clinical Trial Protocol Screening &amp; Patient Matching, scoped as Version 1.0.</w:t>
      </w:r>
    </w:p>
    <w:p>
      <w:pPr>
        <w:spacing w:after="120" w:line="276"/>
      </w:pPr>
      <w:r>
        <w:rPr>
          <w:sz w:val="22"/>
          <w:szCs w:val="22"/>
        </w:rPr>
        <w:t xml:space="preserve">Chosen over Vulnerability Patching because, under criterion (b), a scoped clinical pipeline is a cleaner first build than an open-ended peer-to-peer debugging loop that needs a hardened sandbox and loop-safety guarantees, and because under criterion (c) its two roles map almost exactly onto a 14-year technical-writing and corporate-training background: translating messy rules into rigid schemas, and translating rigid results back into plain language.</w:t>
      </w:r>
    </w:p>
    <w:p>
      <w:pPr>
        <w:pStyle w:val="Heading2"/>
        <w:spacing w:before="180" w:after="80"/>
      </w:pPr>
      <w:r>
        <w:rPr>
          <w:b/>
          <w:bCs/>
          <w:color w:val="1F4E79"/>
          <w:sz w:val="24"/>
          <w:szCs w:val="24"/>
        </w:rPr>
        <w:t xml:space="preserve">Version 1.0 Scope Guardrails</w:t>
      </w:r>
    </w:p>
    <w:p>
      <w:pPr>
        <w:pStyle w:val="ListParagraph"/>
        <w:numPr>
          <w:ilvl w:val="0"/>
          <w:numId w:val="1"/>
        </w:numPr>
        <w:spacing w:after="90" w:line="276"/>
      </w:pPr>
      <w:r>
        <w:rPr>
          <w:b/>
          <w:bCs/>
          <w:sz w:val="22"/>
          <w:szCs w:val="22"/>
        </w:rPr>
        <w:t xml:space="preserve">Patient input is structured only:</w:t>
      </w:r>
      <w:r>
        <w:rPr>
          <w:sz w:val="22"/>
          <w:szCs w:val="22"/>
        </w:rPr>
        <w:t xml:space="preserve"> lab results (LOINC codes + numeric values) and medication lists (RxNorm codes). Free-text clinical-note parsing is explicitly out of scope for v1.0 — this removes the highest-risk source of hallucination.</w:t>
      </w:r>
    </w:p>
    <w:p>
      <w:pPr>
        <w:pStyle w:val="ListParagraph"/>
        <w:numPr>
          <w:ilvl w:val="0"/>
          <w:numId w:val="1"/>
        </w:numPr>
        <w:spacing w:after="90" w:line="276"/>
      </w:pPr>
      <w:r>
        <w:rPr>
          <w:b/>
          <w:bCs/>
          <w:sz w:val="22"/>
          <w:szCs w:val="22"/>
        </w:rPr>
        <w:t xml:space="preserve">Trial protocol stays as unstructured prose:</w:t>
      </w:r>
      <w:r>
        <w:rPr>
          <w:sz w:val="22"/>
          <w:szCs w:val="22"/>
        </w:rPr>
        <w:t xml:space="preserve"> this is deliberate. The protocol text is the messy input that genuinely requires an LLM to interpret, which is what preserves the need for Agent 1.</w:t>
      </w:r>
    </w:p>
    <w:p>
      <w:pPr>
        <w:pStyle w:val="ListParagraph"/>
        <w:numPr>
          <w:ilvl w:val="0"/>
          <w:numId w:val="1"/>
        </w:numPr>
        <w:spacing w:after="90" w:line="276"/>
      </w:pPr>
      <w:r>
        <w:rPr>
          <w:b/>
          <w:bCs/>
          <w:sz w:val="22"/>
          <w:szCs w:val="22"/>
        </w:rPr>
        <w:t xml:space="preserve">Narrow, mostly binary/numeric criteria:</w:t>
      </w:r>
      <w:r>
        <w:rPr>
          <w:sz w:val="22"/>
          <w:szCs w:val="22"/>
        </w:rPr>
        <w:t xml:space="preserve"> one trial (or a small set) with checks like “WBC &gt; 4.0 ×10³/µL” or “not currently taking Warfarin.”</w:t>
      </w:r>
    </w:p>
    <w:p>
      <w:pPr>
        <w:pStyle w:val="ListParagraph"/>
        <w:numPr>
          <w:ilvl w:val="0"/>
          <w:numId w:val="1"/>
        </w:numPr>
        <w:spacing w:after="90" w:line="276"/>
      </w:pPr>
      <w:r>
        <w:rPr>
          <w:b/>
          <w:bCs/>
          <w:sz w:val="22"/>
          <w:szCs w:val="22"/>
        </w:rPr>
        <w:t xml:space="preserve">Decision-support only:</w:t>
      </w:r>
      <w:r>
        <w:rPr>
          <w:sz w:val="22"/>
          <w:szCs w:val="22"/>
        </w:rPr>
        <w:t xml:space="preserve"> output is routed to a human Clinical Trial Coordinator’s dashboard. The system never autonomously enrolls a patient.</w:t>
      </w:r>
    </w:p>
    <w:p>
      <w:pPr>
        <w:pStyle w:val="Heading2"/>
        <w:spacing w:before="180" w:after="80"/>
      </w:pPr>
      <w:r>
        <w:rPr>
          <w:b/>
          <w:bCs/>
          <w:color w:val="1F4E79"/>
          <w:sz w:val="24"/>
          <w:szCs w:val="24"/>
        </w:rPr>
        <w:t xml:space="preserve">Defense Against the Four Criteria</w:t>
      </w:r>
    </w:p>
    <w:p>
      <w:pPr>
        <w:pStyle w:val="ListParagraph"/>
        <w:numPr>
          <w:ilvl w:val="0"/>
          <w:numId w:val="1"/>
        </w:numPr>
        <w:spacing w:after="90" w:line="276"/>
      </w:pPr>
      <w:r>
        <w:rPr>
          <w:b/>
          <w:bCs/>
          <w:sz w:val="22"/>
          <w:szCs w:val="22"/>
        </w:rPr>
        <w:t xml:space="preserve">(a) Repeatable, well-scoped task. </w:t>
      </w:r>
      <w:r>
        <w:rPr>
          <w:sz w:val="22"/>
          <w:szCs w:val="22"/>
        </w:rPr>
        <w:t xml:space="preserve">Every run has the identical shape: patient record + trial protocol in, eligibility recommendation out. With v1.0 scoping, inputs and validation rules are fixed and predictable — an ideal, repeatable test bed.</w:t>
      </w:r>
    </w:p>
    <w:p>
      <w:pPr>
        <w:pStyle w:val="ListParagraph"/>
        <w:numPr>
          <w:ilvl w:val="0"/>
          <w:numId w:val="1"/>
        </w:numPr>
        <w:spacing w:after="90" w:line="276"/>
      </w:pPr>
      <w:r>
        <w:rPr>
          <w:b/>
          <w:bCs/>
          <w:sz w:val="22"/>
          <w:szCs w:val="22"/>
        </w:rPr>
        <w:t xml:space="preserve">(b) Realistic complexity for a first build. </w:t>
      </w:r>
      <w:r>
        <w:rPr>
          <w:sz w:val="22"/>
          <w:szCs w:val="22"/>
        </w:rPr>
        <w:t xml:space="preserve">Unscoped, this workflow is a trap: raw EHR narratives, contradictory timelines, and zero tolerance for a false positive. Scoped to structured patient data, unstructured protocol text, and binary/numeric rules behind a deterministic code gate, the complexity is bounded and inspectable — realistic for a first multi-agent build.</w:t>
      </w:r>
    </w:p>
    <w:p>
      <w:pPr>
        <w:pStyle w:val="ListParagraph"/>
        <w:numPr>
          <w:ilvl w:val="0"/>
          <w:numId w:val="1"/>
        </w:numPr>
        <w:spacing w:after="90" w:line="276"/>
      </w:pPr>
      <w:r>
        <w:rPr>
          <w:b/>
          <w:bCs/>
          <w:sz w:val="22"/>
          <w:szCs w:val="22"/>
        </w:rPr>
        <w:t xml:space="preserve">(c) Career relevance. </w:t>
      </w:r>
      <w:r>
        <w:rPr>
          <w:sz w:val="22"/>
          <w:szCs w:val="22"/>
        </w:rPr>
        <w:t xml:space="preserve">This workflow lives or dies on document accuracy. Fourteen years as a technical writer is exactly the discipline of turning messy reality into clean schemas (Agent 1) and dense rules into audience-appropriate language (Agent 2); corporate-training experience sharpens the plain-language, explainable output. Help-desk/telecom routing instincts also inform the safeguards and gating.</w:t>
      </w:r>
    </w:p>
    <w:p>
      <w:pPr>
        <w:pStyle w:val="ListParagraph"/>
        <w:numPr>
          <w:ilvl w:val="0"/>
          <w:numId w:val="1"/>
        </w:numPr>
        <w:spacing w:after="90" w:line="276"/>
      </w:pPr>
      <w:r>
        <w:rPr>
          <w:b/>
          <w:bCs/>
          <w:sz w:val="22"/>
          <w:szCs w:val="22"/>
        </w:rPr>
        <w:t xml:space="preserve">(d) Genuine need for 2+ specialized roles. </w:t>
      </w:r>
      <w:r>
        <w:rPr>
          <w:sz w:val="22"/>
          <w:szCs w:val="22"/>
        </w:rPr>
        <w:t xml:space="preserve">See the dedicated section below.</w:t>
      </w:r>
    </w:p>
    <w:p>
      <w:pPr>
        <w:pStyle w:val="Heading2"/>
        <w:spacing w:before="180" w:after="80"/>
      </w:pPr>
      <w:r>
        <w:rPr>
          <w:b/>
          <w:bCs/>
          <w:color w:val="1F4E79"/>
          <w:sz w:val="24"/>
          <w:szCs w:val="24"/>
        </w:rPr>
        <w:t xml:space="preserve">Why It Genuinely Needs 2+ Agents — and Why They Must Hand Off</w:t>
      </w:r>
    </w:p>
    <w:p>
      <w:pPr>
        <w:spacing w:after="120" w:line="276"/>
      </w:pPr>
      <w:r>
        <w:rPr>
          <w:sz w:val="22"/>
          <w:szCs w:val="22"/>
        </w:rPr>
        <w:t xml:space="preserve">The open question from review was honest and important: </w:t>
      </w:r>
      <w:r>
        <w:rPr>
          <w:i/>
          <w:iCs/>
          <w:sz w:val="22"/>
          <w:szCs w:val="22"/>
        </w:rPr>
        <w:t xml:space="preserve">if v1.0 handles only structured labs, couldn’t a single agent plus a Python script do the job — or couldn’t one agent do both translation jobs separately? </w:t>
      </w:r>
      <w:r>
        <w:rPr>
          <w:sz w:val="22"/>
          <w:szCs w:val="22"/>
        </w:rPr>
        <w:t xml:space="preserve">The answer is no, for three concrete reasons.</w:t>
      </w:r>
    </w:p>
    <w:p>
      <w:pPr>
        <w:pStyle w:val="ListParagraph"/>
        <w:numPr>
          <w:ilvl w:val="0"/>
          <w:numId w:val="1"/>
        </w:numPr>
        <w:spacing w:after="90" w:line="276"/>
      </w:pPr>
      <w:r>
        <w:rPr>
          <w:b/>
          <w:bCs/>
          <w:sz w:val="22"/>
          <w:szCs w:val="22"/>
        </w:rPr>
        <w:t xml:space="preserve">1. The two jobs are opposite cognitive modes that corrupt each other in one context. </w:t>
      </w:r>
      <w:r>
        <w:rPr>
          <w:sz w:val="22"/>
          <w:szCs w:val="22"/>
        </w:rPr>
        <w:t xml:space="preserve">Agent 1 must be literal, rigid, and adversarial — reading prose like a contract and refusing to infer. Agent 2 must be flexible, empathetic, and audience-aware — softening a rejection into something a patient can understand. Forced into one agent and one context window, the model compromises: it either applies the rigid lens to the explanation (cold, jargon-dense) or the loose lens to rule extraction (it infers criteria that were never written, letting ineligible patients through). Separation keeps each lens pure.</w:t>
      </w:r>
    </w:p>
    <w:p>
      <w:pPr>
        <w:pStyle w:val="ListParagraph"/>
        <w:numPr>
          <w:ilvl w:val="0"/>
          <w:numId w:val="1"/>
        </w:numPr>
        <w:spacing w:after="90" w:line="276"/>
      </w:pPr>
      <w:r>
        <w:rPr>
          <w:b/>
          <w:bCs/>
          <w:sz w:val="22"/>
          <w:szCs w:val="22"/>
        </w:rPr>
        <w:t xml:space="preserve">2. There is a real data dependency, so this is a true handoff, not two unrelated prompts. </w:t>
      </w:r>
      <w:r>
        <w:rPr>
          <w:sz w:val="22"/>
          <w:szCs w:val="22"/>
        </w:rPr>
        <w:t xml:space="preserve">Agent 2 cannot do its job from the raw protocol alone. It needs (i) Agent 1’s structured schema to know which specific rule was evaluated, and (ii) the code gate’s exact reason code for the pass/fail. The directed flow is Agent 1 → code gate → Agent 2, and Agent 2 consumes Agent 1’s structured output (mediated by the gate). That dependency is the handoff. Collapsing them would force a single agent to re-derive the match logic the deterministic gate was built to own — reintroducing exactly the hallucination risk we moved into code.</w:t>
      </w:r>
    </w:p>
    <w:p>
      <w:pPr>
        <w:pStyle w:val="ListParagraph"/>
        <w:numPr>
          <w:ilvl w:val="0"/>
          <w:numId w:val="1"/>
        </w:numPr>
        <w:spacing w:after="90" w:line="276"/>
      </w:pPr>
      <w:r>
        <w:rPr>
          <w:b/>
          <w:bCs/>
          <w:sz w:val="22"/>
          <w:szCs w:val="22"/>
        </w:rPr>
        <w:t xml:space="preserve">3. Separation makes the system auditable and safe. </w:t>
      </w:r>
      <w:r>
        <w:rPr>
          <w:sz w:val="22"/>
          <w:szCs w:val="22"/>
        </w:rPr>
        <w:t xml:space="preserve">Because Agent 1’s extracted schema is emitted as inspectable JSON before any patient-facing language is generated, a human can verify the encoded rules independently of the prose. A single combined agent would entangle rule extraction and explanation, leaving nothing to audit in between — unacceptable where a false positive could endanger a patient.</w:t>
      </w:r>
    </w:p>
    <w:p>
      <w:pPr>
        <w:spacing w:after="120" w:line="276"/>
      </w:pPr>
      <w:r>
        <w:rPr>
          <w:b/>
          <w:bCs/>
          <w:sz w:val="22"/>
          <w:szCs w:val="22"/>
        </w:rPr>
        <w:t xml:space="preserve">Note on the code gate: </w:t>
      </w:r>
      <w:r>
        <w:rPr>
          <w:sz w:val="22"/>
          <w:szCs w:val="22"/>
        </w:rPr>
        <w:t xml:space="preserve">the deterministic Python matcher is not an agent. The architecture is Agent → deterministic code → Agent, which is precisely why it is a genuine multi-agent pipeline with a handoff across the gate, and not a single agent wrapped around a script.</w:t>
      </w:r>
    </w:p>
    <w:p>
      <w:pPr>
        <w:pBdr>
          <w:bottom w:val="single" w:color="1F4E79" w:sz="6"/>
        </w:pBdr>
        <w:spacing w:after="160"/>
      </w:pPr>
    </w:p>
    <w:p>
      <w:r>
        <w:rPr>
          <w:i/>
          <w:iCs/>
          <w:color w:val="595959"/>
          <w:sz w:val="20"/>
          <w:szCs w:val="20"/>
        </w:rPr>
        <w:t xml:space="preserve">Locked. Next cycle: handoff protocols + PRD.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2026-10-22T19:46:55.633Z</dcterms:created>
  <dcterms:modified xsi:type="dcterms:W3CDTF">2026-10-22T19:46:55.634Z</dcterms:modified>
</cp:coreProperties>
</file>

<file path=docProps/custom.xml><?xml version="1.0" encoding="utf-8"?>
<Properties xmlns="http://schemas.openxmlformats.org/officeDocument/2006/custom-properties" xmlns:vt="http://schemas.openxmlformats.org/officeDocument/2006/docPropsVTypes"/>
</file>