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32"/>
          <w:szCs w:val="32"/>
        </w:rPr>
        <w:t xml:space="preserve">Application Challenge: Design a Handoff and Its Fallback</w:t>
      </w:r>
    </w:p>
    <w:p>
      <w:pPr>
        <w:spacing w:after="200"/>
      </w:pPr>
      <w:r>
        <w:rPr>
          <w:i/>
          <w:iCs/>
          <w:color w:val="666666"/>
        </w:rPr>
        <w:t xml:space="preserve">Property-listing assistant — three-agent system (Intake → Compliance → Publisher)</w:t>
      </w:r>
    </w:p>
    <w:p>
      <w:pPr>
        <w:pStyle w:val="Heading1"/>
        <w:spacing w:after="120" w:before="280"/>
      </w:pPr>
      <w:r>
        <w:rPr>
          <w:b/>
          <w:bCs/>
          <w:color w:val="2F5496"/>
        </w:rPr>
        <w:t xml:space="preserve">Part 1 — Division of labor (who owns what, and what they don't)</w:t>
      </w:r>
    </w:p>
    <w:p>
      <w:pPr>
        <w:pStyle w:val="Heading2"/>
        <w:spacing w:after="80" w:before="200"/>
      </w:pPr>
      <w:r>
        <w:rPr>
          <w:b/>
          <w:bCs/>
        </w:rPr>
        <w:t xml:space="preserve">Intake Agent</w:t>
      </w:r>
    </w:p>
    <w:p>
      <w:pPr>
        <w:pStyle w:val="ListParagraph"/>
        <w:numPr>
          <w:ilvl w:val="0"/>
          <w:numId w:val="2"/>
        </w:numPr>
        <w:spacing w:after="60"/>
      </w:pPr>
      <w:r>
        <w:rPr>
          <w:b/>
          <w:bCs/>
        </w:rPr>
        <w:t xml:space="preserve">Owns: </w:t>
      </w:r>
      <w:r>
        <w:t xml:space="preserve">turning the landlord's messy submission into clean, structured data — rent, bedrooms, pet policy, move-in date, room measurements, lock/door details, rental type — and checking that the required documents and photos are actually present. It owns a checklist of what a complete submission looks like, and it owns flagging the landlord (via a human) when something is missing.</w:t>
      </w:r>
    </w:p>
    <w:p>
      <w:pPr>
        <w:pStyle w:val="ListParagraph"/>
        <w:numPr>
          <w:ilvl w:val="0"/>
          <w:numId w:val="2"/>
        </w:numPr>
        <w:spacing w:after="60"/>
      </w:pPr>
      <w:r>
        <w:rPr>
          <w:b/>
          <w:bCs/>
        </w:rPr>
        <w:t xml:space="preserve">Does NOT own: </w:t>
      </w:r>
      <w:r>
        <w:t xml:space="preserve">deciding whether any of that is legal or compliant. It extracts “pets negotiable” faithfully; it does not judge whether “negotiable” is allowed. It records, it doesn't rule.</w:t>
      </w:r>
    </w:p>
    <w:p>
      <w:pPr>
        <w:pStyle w:val="Heading2"/>
        <w:spacing w:after="80" w:before="200"/>
      </w:pPr>
      <w:r>
        <w:rPr>
          <w:b/>
          <w:bCs/>
        </w:rPr>
        <w:t xml:space="preserve">Compliance Agent</w:t>
      </w:r>
    </w:p>
    <w:p>
      <w:pPr>
        <w:pStyle w:val="ListParagraph"/>
        <w:numPr>
          <w:ilvl w:val="0"/>
          <w:numId w:val="2"/>
        </w:numPr>
        <w:spacing w:after="60"/>
      </w:pPr>
      <w:r>
        <w:rPr>
          <w:b/>
          <w:bCs/>
        </w:rPr>
        <w:t xml:space="preserve">Owns: </w:t>
      </w:r>
      <w:r>
        <w:t xml:space="preserve">judging the extracted data against local rules — required disclosures, rent-advertising rules, discriminatory-language rules — for the specific rental type, because not every rule applies to every rental. It owns the verdict: compliant / not compliant / can't tell.</w:t>
      </w:r>
    </w:p>
    <w:p>
      <w:pPr>
        <w:pStyle w:val="ListParagraph"/>
        <w:numPr>
          <w:ilvl w:val="0"/>
          <w:numId w:val="2"/>
        </w:numPr>
        <w:spacing w:after="60"/>
      </w:pPr>
      <w:r>
        <w:rPr>
          <w:b/>
          <w:bCs/>
        </w:rPr>
        <w:t xml:space="preserve">Does NOT own: </w:t>
      </w:r>
      <w:r>
        <w:t xml:space="preserve">extracting or correcting the data, and it does not own writing the listing. If data is missing, it doesn't go fetch it — it hands the problem back.</w:t>
      </w:r>
    </w:p>
    <w:p>
      <w:pPr>
        <w:pStyle w:val="Heading2"/>
        <w:spacing w:after="80" w:before="200"/>
      </w:pPr>
      <w:r>
        <w:rPr>
          <w:b/>
          <w:bCs/>
        </w:rPr>
        <w:t xml:space="preserve">Publisher Agent</w:t>
      </w:r>
    </w:p>
    <w:p>
      <w:pPr>
        <w:pStyle w:val="ListParagraph"/>
        <w:numPr>
          <w:ilvl w:val="0"/>
          <w:numId w:val="2"/>
        </w:numPr>
        <w:spacing w:after="60"/>
      </w:pPr>
      <w:r>
        <w:rPr>
          <w:b/>
          <w:bCs/>
        </w:rPr>
        <w:t xml:space="preserve">Owns: </w:t>
      </w:r>
      <w:r>
        <w:t xml:space="preserve">writing the public listing from approved data and posting it. It owns the final wording and the “go live” action.</w:t>
      </w:r>
    </w:p>
    <w:p>
      <w:pPr>
        <w:pStyle w:val="ListParagraph"/>
        <w:numPr>
          <w:ilvl w:val="0"/>
          <w:numId w:val="2"/>
        </w:numPr>
        <w:spacing w:after="60"/>
      </w:pPr>
      <w:r>
        <w:rPr>
          <w:b/>
          <w:bCs/>
        </w:rPr>
        <w:t xml:space="preserve">Does NOT own: </w:t>
      </w:r>
      <w:r>
        <w:t xml:space="preserve">judging compliance or inventing facts. It can only publish what Compliance cleared; it has no authority to overrule a “not compliant.”</w:t>
      </w:r>
    </w:p>
    <w:p>
      <w:pPr>
        <w:spacing w:after="120"/>
      </w:pPr>
      <w:r>
        <w:rPr>
          <w:b/>
          <w:bCs/>
        </w:rPr>
        <w:t xml:space="preserve">The overlap spot + how I prevent it: </w:t>
      </w:r>
      <w:r>
        <w:t xml:space="preserve">The natural collision is between Intake and Publisher over wording. Intake pulls the landlord's phrasing; Publisher rewrites it into marketing copy — and a rewrite can quietly reintroduce a problem Compliance already caught (e.g., softening “no Section 8” into “ideal for professionals,” which is still discriminatory).</w:t>
      </w:r>
    </w:p>
    <w:p>
      <w:pPr>
        <w:spacing w:after="120"/>
      </w:pPr>
      <w:r>
        <w:rPr>
          <w:b/>
          <w:bCs/>
        </w:rPr>
        <w:t xml:space="preserve">Prevention: </w:t>
      </w:r>
      <w:r>
        <w:t xml:space="preserve">compliance is checked on the data, not the prose, and the Publisher is only allowed to render fields Compliance signed off on — it cannot add new claims. Then the final copy gets one last pass back through Compliance before posting.</w:t>
      </w:r>
    </w:p>
    <w:p>
      <w:pPr>
        <w:spacing w:after="120"/>
      </w:pPr>
      <w:r>
        <w:rPr>
          <w:b/>
          <w:bCs/>
        </w:rPr>
        <w:t xml:space="preserve">Cost: </w:t>
      </w:r>
      <w:r>
        <w:t xml:space="preserve">that re-check adds latency and a second compliance call on every listing. I accept it because the failure it prevents (a discriminatory or false listing going public) is far more expensive than a few seconds.</w:t>
      </w:r>
    </w:p>
    <w:p>
      <w:pPr>
        <w:pStyle w:val="Heading1"/>
        <w:spacing w:after="120" w:before="280"/>
      </w:pPr>
      <w:r>
        <w:rPr>
          <w:b/>
          <w:bCs/>
          <w:color w:val="2F5496"/>
        </w:rPr>
        <w:t xml:space="preserve">Part 2 — The Intake → Compliance handoff (what crosses the boundary)</w:t>
      </w:r>
    </w:p>
    <w:p>
      <w:pPr>
        <w:spacing w:after="120"/>
      </w:pPr>
      <w:r>
        <w:t xml:space="preserve">Compliance needs more than the extracted values — it needs to know </w:t>
      </w:r>
      <w:r>
        <w:rPr>
          <w:b/>
          <w:bCs/>
        </w:rPr>
        <w:t xml:space="preserve">how much to trust them</w:t>
      </w:r>
      <w:r>
        <w:t xml:space="preserve"> and </w:t>
      </w:r>
      <w:r>
        <w:rPr>
          <w:b/>
          <w:bCs/>
        </w:rPr>
        <w:t xml:space="preserve">what to do if it can't decide</w:t>
      </w:r>
      <w:r>
        <w:t xml:space="preserve">. I'd send a structured record (JSON), because it's machine-parseable, every field is explicitly named, and a missing field is detectable rather than silently blended into prose.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shd w:fill="D9E2F3" w:color="auto" w:val="clear"/>
            <w:tcMar>
              <w:top w:type="dxa" w:w="40"/>
              <w:left w:type="dxa" w:w="80"/>
              <w:bottom w:type="dxa" w:w="40"/>
              <w:right w:type="dxa" w:w="80"/>
            </w:tcMar>
          </w:tcPr>
          <w:p>
            <w:r>
              <w:rPr>
                <w:b/>
                <w:bCs/>
              </w:rPr>
              <w:t xml:space="preserve">Field</w:t>
            </w:r>
          </w:p>
        </w:tc>
        <w:tc>
          <w:tcPr>
            <w:tcW w:type="dxa" w:w="3200"/>
            <w:shd w:fill="D9E2F3" w:color="auto" w:val="clear"/>
            <w:tcMar>
              <w:top w:type="dxa" w:w="40"/>
              <w:left w:type="dxa" w:w="80"/>
              <w:bottom w:type="dxa" w:w="40"/>
              <w:right w:type="dxa" w:w="80"/>
            </w:tcMar>
          </w:tcPr>
          <w:p>
            <w:r>
              <w:rPr>
                <w:b/>
                <w:bCs/>
              </w:rPr>
              <w:t xml:space="preserve">Why it's there</w:t>
            </w:r>
          </w:p>
        </w:tc>
        <w:tc>
          <w:tcPr>
            <w:tcW w:type="dxa" w:w="3200"/>
            <w:shd w:fill="D9E2F3" w:color="auto" w:val="clear"/>
            <w:tcMar>
              <w:top w:type="dxa" w:w="40"/>
              <w:left w:type="dxa" w:w="80"/>
              <w:bottom w:type="dxa" w:w="40"/>
              <w:right w:type="dxa" w:w="80"/>
            </w:tcMar>
          </w:tcPr>
          <w:p>
            <w:r>
              <w:rPr>
                <w:b/>
                <w:bCs/>
              </w:rPr>
              <w:t xml:space="preserve">What breaks without it</w:t>
            </w:r>
          </w:p>
        </w:tc>
      </w:tr>
      <w:tr>
        <w:tc>
          <w:tcPr>
            <w:tcW w:type="dxa" w:w="3200"/>
            <w:tcMar>
              <w:top w:type="dxa" w:w="40"/>
              <w:left w:type="dxa" w:w="80"/>
              <w:bottom w:type="dxa" w:w="40"/>
              <w:right w:type="dxa" w:w="80"/>
            </w:tcMar>
          </w:tcPr>
          <w:p>
            <w:r>
              <w:rPr>
                <w:b w:val="false"/>
                <w:bCs w:val="false"/>
              </w:rPr>
              <w:t xml:space="preserve">extracted_details (rent, beds, pet policy, move-in, measurements…)</w:t>
            </w:r>
          </w:p>
        </w:tc>
        <w:tc>
          <w:tcPr>
            <w:tcW w:type="dxa" w:w="3200"/>
            <w:tcMar>
              <w:top w:type="dxa" w:w="40"/>
              <w:left w:type="dxa" w:w="80"/>
              <w:bottom w:type="dxa" w:w="40"/>
              <w:right w:type="dxa" w:w="80"/>
            </w:tcMar>
          </w:tcPr>
          <w:p>
            <w:r>
              <w:rPr>
                <w:b w:val="false"/>
                <w:bCs w:val="false"/>
              </w:rPr>
              <w:t xml:space="preserve">The thing being judged</w:t>
            </w:r>
          </w:p>
        </w:tc>
        <w:tc>
          <w:tcPr>
            <w:tcW w:type="dxa" w:w="3200"/>
            <w:tcMar>
              <w:top w:type="dxa" w:w="40"/>
              <w:left w:type="dxa" w:w="80"/>
              <w:bottom w:type="dxa" w:w="40"/>
              <w:right w:type="dxa" w:w="80"/>
            </w:tcMar>
          </w:tcPr>
          <w:p>
            <w:r>
              <w:rPr>
                <w:b w:val="false"/>
                <w:bCs w:val="false"/>
              </w:rPr>
              <w:t xml:space="preserve">Nothing to check</w:t>
            </w:r>
          </w:p>
        </w:tc>
      </w:tr>
      <w:tr>
        <w:tc>
          <w:tcPr>
            <w:tcW w:type="dxa" w:w="3200"/>
            <w:tcMar>
              <w:top w:type="dxa" w:w="40"/>
              <w:left w:type="dxa" w:w="80"/>
              <w:bottom w:type="dxa" w:w="40"/>
              <w:right w:type="dxa" w:w="80"/>
            </w:tcMar>
          </w:tcPr>
          <w:p>
            <w:r>
              <w:rPr>
                <w:b w:val="false"/>
                <w:bCs w:val="false"/>
              </w:rPr>
              <w:t xml:space="preserve">rental_type</w:t>
            </w:r>
          </w:p>
        </w:tc>
        <w:tc>
          <w:tcPr>
            <w:tcW w:type="dxa" w:w="3200"/>
            <w:tcMar>
              <w:top w:type="dxa" w:w="40"/>
              <w:left w:type="dxa" w:w="80"/>
              <w:bottom w:type="dxa" w:w="40"/>
              <w:right w:type="dxa" w:w="80"/>
            </w:tcMar>
          </w:tcPr>
          <w:p>
            <w:r>
              <w:rPr>
                <w:b w:val="false"/>
                <w:bCs w:val="false"/>
              </w:rPr>
              <w:t xml:space="preserve">Rules differ by rental type</w:t>
            </w:r>
          </w:p>
        </w:tc>
        <w:tc>
          <w:tcPr>
            <w:tcW w:type="dxa" w:w="3200"/>
            <w:tcMar>
              <w:top w:type="dxa" w:w="40"/>
              <w:left w:type="dxa" w:w="80"/>
              <w:bottom w:type="dxa" w:w="40"/>
              <w:right w:type="dxa" w:w="80"/>
            </w:tcMar>
          </w:tcPr>
          <w:p>
            <w:r>
              <w:rPr>
                <w:b w:val="false"/>
                <w:bCs w:val="false"/>
              </w:rPr>
              <w:t xml:space="preserve">Compliance applies the wrong ruleset</w:t>
            </w:r>
          </w:p>
        </w:tc>
      </w:tr>
      <w:tr>
        <w:tc>
          <w:tcPr>
            <w:tcW w:type="dxa" w:w="3200"/>
            <w:tcMar>
              <w:top w:type="dxa" w:w="40"/>
              <w:left w:type="dxa" w:w="80"/>
              <w:bottom w:type="dxa" w:w="40"/>
              <w:right w:type="dxa" w:w="80"/>
            </w:tcMar>
          </w:tcPr>
          <w:p>
            <w:r>
              <w:rPr>
                <w:b w:val="false"/>
                <w:bCs w:val="false"/>
              </w:rPr>
              <w:t xml:space="preserve">confidence per field (high/med/low)</w:t>
            </w:r>
          </w:p>
        </w:tc>
        <w:tc>
          <w:tcPr>
            <w:tcW w:type="dxa" w:w="3200"/>
            <w:tcMar>
              <w:top w:type="dxa" w:w="40"/>
              <w:left w:type="dxa" w:w="80"/>
              <w:bottom w:type="dxa" w:w="40"/>
              <w:right w:type="dxa" w:w="80"/>
            </w:tcMar>
          </w:tcPr>
          <w:p>
            <w:r>
              <w:rPr>
                <w:b w:val="false"/>
                <w:bCs w:val="false"/>
              </w:rPr>
              <w:t xml:space="preserve">Tells Compliance which values are shaky</w:t>
            </w:r>
          </w:p>
        </w:tc>
        <w:tc>
          <w:tcPr>
            <w:tcW w:type="dxa" w:w="3200"/>
            <w:tcMar>
              <w:top w:type="dxa" w:w="40"/>
              <w:left w:type="dxa" w:w="80"/>
              <w:bottom w:type="dxa" w:w="40"/>
              <w:right w:type="dxa" w:w="80"/>
            </w:tcMar>
          </w:tcPr>
          <w:p>
            <w:r>
              <w:rPr>
                <w:b w:val="false"/>
                <w:bCs w:val="false"/>
              </w:rPr>
              <w:t xml:space="preserve">It treats a guess as fact and clears a listing it shouldn't</w:t>
            </w:r>
          </w:p>
        </w:tc>
      </w:tr>
      <w:tr>
        <w:tc>
          <w:tcPr>
            <w:tcW w:type="dxa" w:w="3200"/>
            <w:tcMar>
              <w:top w:type="dxa" w:w="40"/>
              <w:left w:type="dxa" w:w="80"/>
              <w:bottom w:type="dxa" w:w="40"/>
              <w:right w:type="dxa" w:w="80"/>
            </w:tcMar>
          </w:tcPr>
          <w:p>
            <w:r>
              <w:rPr>
                <w:b w:val="false"/>
                <w:bCs w:val="false"/>
              </w:rPr>
              <w:t xml:space="preserve">source per field (form / free-text / photo / lease doc)</w:t>
            </w:r>
          </w:p>
        </w:tc>
        <w:tc>
          <w:tcPr>
            <w:tcW w:type="dxa" w:w="3200"/>
            <w:tcMar>
              <w:top w:type="dxa" w:w="40"/>
              <w:left w:type="dxa" w:w="80"/>
              <w:bottom w:type="dxa" w:w="40"/>
              <w:right w:type="dxa" w:w="80"/>
            </w:tcMar>
          </w:tcPr>
          <w:p>
            <w:r>
              <w:rPr>
                <w:b w:val="false"/>
                <w:bCs w:val="false"/>
              </w:rPr>
              <w:t xml:space="preserve">Lets Compliance weigh conflicts (lease says $2,000, text says $1,800)</w:t>
            </w:r>
          </w:p>
        </w:tc>
        <w:tc>
          <w:tcPr>
            <w:tcW w:type="dxa" w:w="3200"/>
            <w:tcMar>
              <w:top w:type="dxa" w:w="40"/>
              <w:left w:type="dxa" w:w="80"/>
              <w:bottom w:type="dxa" w:w="40"/>
              <w:right w:type="dxa" w:w="80"/>
            </w:tcMar>
          </w:tcPr>
          <w:p>
            <w:r>
              <w:rPr>
                <w:b w:val="false"/>
                <w:bCs w:val="false"/>
              </w:rPr>
              <w:t xml:space="preserve">It can't catch the rent-vs-lease mismatch</w:t>
            </w:r>
          </w:p>
        </w:tc>
      </w:tr>
      <w:tr>
        <w:tc>
          <w:tcPr>
            <w:tcW w:type="dxa" w:w="3200"/>
            <w:tcMar>
              <w:top w:type="dxa" w:w="40"/>
              <w:left w:type="dxa" w:w="80"/>
              <w:bottom w:type="dxa" w:w="40"/>
              <w:right w:type="dxa" w:w="80"/>
            </w:tcMar>
          </w:tcPr>
          <w:p>
            <w:r>
              <w:rPr>
                <w:b w:val="false"/>
                <w:bCs w:val="false"/>
              </w:rPr>
              <w:t xml:space="preserve">ambiguities[] (e.g., “pets negotiable — undefined”)</w:t>
            </w:r>
          </w:p>
        </w:tc>
        <w:tc>
          <w:tcPr>
            <w:tcW w:type="dxa" w:w="3200"/>
            <w:tcMar>
              <w:top w:type="dxa" w:w="40"/>
              <w:left w:type="dxa" w:w="80"/>
              <w:bottom w:type="dxa" w:w="40"/>
              <w:right w:type="dxa" w:w="80"/>
            </w:tcMar>
          </w:tcPr>
          <w:p>
            <w:r>
              <w:rPr>
                <w:b w:val="false"/>
                <w:bCs w:val="false"/>
              </w:rPr>
              <w:t xml:space="preserve">Hands the “can't tell” cases over explicitly</w:t>
            </w:r>
          </w:p>
        </w:tc>
        <w:tc>
          <w:tcPr>
            <w:tcW w:type="dxa" w:w="3200"/>
            <w:tcMar>
              <w:top w:type="dxa" w:w="40"/>
              <w:left w:type="dxa" w:w="80"/>
              <w:bottom w:type="dxa" w:w="40"/>
              <w:right w:type="dxa" w:w="80"/>
            </w:tcMar>
          </w:tcPr>
          <w:p>
            <w:r>
              <w:rPr>
                <w:b w:val="false"/>
                <w:bCs w:val="false"/>
              </w:rPr>
              <w:t xml:space="preserve">Ambiguity gets rounded off to a false “compliant”</w:t>
            </w:r>
          </w:p>
        </w:tc>
      </w:tr>
      <w:tr>
        <w:tc>
          <w:tcPr>
            <w:tcW w:type="dxa" w:w="3200"/>
            <w:tcMar>
              <w:top w:type="dxa" w:w="40"/>
              <w:left w:type="dxa" w:w="80"/>
              <w:bottom w:type="dxa" w:w="40"/>
              <w:right w:type="dxa" w:w="80"/>
            </w:tcMar>
          </w:tcPr>
          <w:p>
            <w:r>
              <w:rPr>
                <w:b w:val="false"/>
                <w:bCs w:val="false"/>
              </w:rPr>
              <w:t xml:space="preserve">missing_items[]</w:t>
            </w:r>
          </w:p>
        </w:tc>
        <w:tc>
          <w:tcPr>
            <w:tcW w:type="dxa" w:w="3200"/>
            <w:tcMar>
              <w:top w:type="dxa" w:w="40"/>
              <w:left w:type="dxa" w:w="80"/>
              <w:bottom w:type="dxa" w:w="40"/>
              <w:right w:type="dxa" w:w="80"/>
            </w:tcMar>
          </w:tcPr>
          <w:p>
            <w:r>
              <w:rPr>
                <w:b w:val="false"/>
                <w:bCs w:val="false"/>
              </w:rPr>
              <w:t xml:space="preserve">Says what Intake couldn't get</w:t>
            </w:r>
          </w:p>
        </w:tc>
        <w:tc>
          <w:tcPr>
            <w:tcW w:type="dxa" w:w="3200"/>
            <w:tcMar>
              <w:top w:type="dxa" w:w="40"/>
              <w:left w:type="dxa" w:w="80"/>
              <w:bottom w:type="dxa" w:w="40"/>
              <w:right w:type="dxa" w:w="80"/>
            </w:tcMar>
          </w:tcPr>
          <w:p>
            <w:r>
              <w:rPr>
                <w:b w:val="false"/>
                <w:bCs w:val="false"/>
              </w:rPr>
              <w:t xml:space="preserve">Compliance can't distinguish “absent” from “not applicable”</w:t>
            </w:r>
          </w:p>
        </w:tc>
      </w:tr>
      <w:tr>
        <w:tc>
          <w:tcPr>
            <w:tcW w:type="dxa" w:w="3200"/>
            <w:tcMar>
              <w:top w:type="dxa" w:w="40"/>
              <w:left w:type="dxa" w:w="80"/>
              <w:bottom w:type="dxa" w:w="40"/>
              <w:right w:type="dxa" w:w="80"/>
            </w:tcMar>
          </w:tcPr>
          <w:p>
            <w:r>
              <w:rPr>
                <w:b w:val="false"/>
                <w:bCs w:val="false"/>
              </w:rPr>
              <w:t xml:space="preserve">submission_id + timestamp</w:t>
            </w:r>
          </w:p>
        </w:tc>
        <w:tc>
          <w:tcPr>
            <w:tcW w:type="dxa" w:w="3200"/>
            <w:tcMar>
              <w:top w:type="dxa" w:w="40"/>
              <w:left w:type="dxa" w:w="80"/>
              <w:bottom w:type="dxa" w:w="40"/>
              <w:right w:type="dxa" w:w="80"/>
            </w:tcMar>
          </w:tcPr>
          <w:p>
            <w:r>
              <w:rPr>
                <w:b w:val="false"/>
                <w:bCs w:val="false"/>
              </w:rPr>
              <w:t xml:space="preserve">Traceability / audit</w:t>
            </w:r>
          </w:p>
        </w:tc>
        <w:tc>
          <w:tcPr>
            <w:tcW w:type="dxa" w:w="3200"/>
            <w:tcMar>
              <w:top w:type="dxa" w:w="40"/>
              <w:left w:type="dxa" w:w="80"/>
              <w:bottom w:type="dxa" w:w="40"/>
              <w:right w:type="dxa" w:w="80"/>
            </w:tcMar>
          </w:tcPr>
          <w:p>
            <w:r>
              <w:rPr>
                <w:b w:val="false"/>
                <w:bCs w:val="false"/>
              </w:rPr>
              <w:t xml:space="preserve">No way to tie a verdict back to a submission</w:t>
            </w:r>
          </w:p>
        </w:tc>
      </w:tr>
    </w:tbl>
    <w:p>
      <w:pPr>
        <w:spacing w:after="120" w:before="120"/>
      </w:pPr>
      <w:r>
        <w:rPr>
          <w:b/>
          <w:bCs/>
        </w:rPr>
        <w:t xml:space="preserve">The headline point: </w:t>
      </w:r>
      <w:r>
        <w:t xml:space="preserve">confidence, source, and ambiguities are the fields most people forget, and they're exactly what lets Compliance do its job instead of guessing.</w:t>
      </w:r>
    </w:p>
    <w:p>
      <w:pPr>
        <w:pStyle w:val="Heading1"/>
        <w:spacing w:after="120" w:before="280"/>
      </w:pPr>
      <w:r>
        <w:rPr>
          <w:b/>
          <w:bCs/>
          <w:color w:val="2F5496"/>
        </w:rPr>
        <w:t xml:space="preserve">Part 3 — The failure case (“pets negotiable,” can't tell)</w:t>
      </w:r>
    </w:p>
    <w:p>
      <w:pPr>
        <w:pStyle w:val="ListParagraph"/>
        <w:numPr>
          <w:ilvl w:val="0"/>
          <w:numId w:val="2"/>
        </w:numPr>
        <w:spacing w:after="60"/>
      </w:pPr>
      <w:r>
        <w:rPr>
          <w:b/>
          <w:bCs/>
        </w:rPr>
        <w:t xml:space="preserve">What Compliance sends, and to whom: </w:t>
      </w:r>
      <w:r>
        <w:t xml:space="preserve">it does not guess and it does not pass to Publisher. It returns a verdict: needs_clarification to the orchestrator, naming the exact field (pet_policy), the reason (“'negotiable' is undefined — can't check against pet-disclosure rules”), and the specific question that would resolve it. The orchestrator routes that to a human (the agency rep), who takes it to the landlord — because only the landlord can define what “negotiable” means.</w:t>
      </w:r>
    </w:p>
    <w:p>
      <w:pPr>
        <w:pStyle w:val="ListParagraph"/>
        <w:numPr>
          <w:ilvl w:val="0"/>
          <w:numId w:val="2"/>
        </w:numPr>
        <w:spacing w:after="60"/>
      </w:pPr>
      <w:r>
        <w:rPr>
          <w:b/>
          <w:bCs/>
        </w:rPr>
        <w:t xml:space="preserve">What Publisher does meanwhile: </w:t>
      </w:r>
      <w:r>
        <w:t xml:space="preserve">nothing on this listing. It holds in a pending_clarification state — it does not publish a partial listing and does not drop the pet line silently. Other listings keep flowing; only this one is parked.</w:t>
      </w:r>
    </w:p>
    <w:p>
      <w:pPr>
        <w:pStyle w:val="ListParagraph"/>
        <w:numPr>
          <w:ilvl w:val="0"/>
          <w:numId w:val="2"/>
        </w:numPr>
        <w:spacing w:after="60"/>
      </w:pPr>
      <w:r>
        <w:rPr>
          <w:b/>
          <w:bCs/>
        </w:rPr>
        <w:t xml:space="preserve">What the human message contains: </w:t>
      </w:r>
      <w:r>
        <w:t xml:space="preserve">the submission ID, the one blocking field, a plain-language question, and a small set of choices so the answer comes back structured — e.g. “Landlord wrote 'pets negotiable.' To publish legally we need specifics. Which applies? (a) cats only, (b) dogs under X lbs, (c) case-by-case with deposit $___, (d) no pets after all.” It asks for one decision: define the pet policy. Closed options, because a free-text reply just re-creates the ambiguity.</w:t>
      </w:r>
    </w:p>
    <w:p>
      <w:pPr>
        <w:pStyle w:val="Heading1"/>
        <w:spacing w:after="120" w:before="280"/>
      </w:pPr>
      <w:r>
        <w:rPr>
          <w:b/>
          <w:bCs/>
          <w:color w:val="2F5496"/>
        </w:rPr>
        <w:t xml:space="preserve">Part 4 — The cost, and what happens if nobody answers</w:t>
      </w:r>
    </w:p>
    <w:p>
      <w:pPr>
        <w:pStyle w:val="ListParagraph"/>
        <w:numPr>
          <w:ilvl w:val="0"/>
          <w:numId w:val="2"/>
        </w:numPr>
        <w:spacing w:after="60"/>
      </w:pPr>
      <w:r>
        <w:rPr>
          <w:b/>
          <w:bCs/>
        </w:rPr>
        <w:t xml:space="preserve">What the fallback sacrifices: </w:t>
      </w:r>
      <w:r>
        <w:t xml:space="preserve">speed. Pausing for a human turns a seconds-long pipeline into something that can take hours or days. I accept that trade because the alternative is accuracy and legal risk — an auto-published guess about pet policy can be a discrimination or disclosure violation, and a wrong listing is far costlier to the agency than a slow one.</w:t>
      </w:r>
    </w:p>
    <w:p>
      <w:pPr>
        <w:pStyle w:val="ListParagraph"/>
        <w:numPr>
          <w:ilvl w:val="0"/>
          <w:numId w:val="2"/>
        </w:numPr>
        <w:spacing w:after="60"/>
      </w:pPr>
      <w:r>
        <w:rPr>
          <w:b/>
          <w:bCs/>
        </w:rPr>
        <w:t xml:space="preserve">If nobody responds — the stopping rule: </w:t>
      </w:r>
      <w:r>
        <w:t xml:space="preserve">the request retries/reminds on a schedule (say at 24h and 48h), then hard-stops at 72 hours. No infinite loop, capped reminders, one terminal deadline.</w:t>
      </w:r>
    </w:p>
    <w:p>
      <w:pPr>
        <w:pStyle w:val="ListParagraph"/>
        <w:numPr>
          <w:ilvl w:val="0"/>
          <w:numId w:val="2"/>
        </w:numPr>
        <w:spacing w:after="60"/>
      </w:pPr>
      <w:r>
        <w:rPr>
          <w:b/>
          <w:bCs/>
        </w:rPr>
        <w:t xml:space="preserve">What's on the website at the deadline: </w:t>
      </w:r>
      <w:r>
        <w:t xml:space="preserve">nothing for this listing — it stays unpublished and moves to a needs_landlord_input queue for the agency. The default on an unresolved compliance question is don't publish, never “publish without the pet info and hope.” Silence resolves to the safe state, not the convenient one.</w:t>
      </w:r>
    </w:p>
    <w:p>
      <w:pPr>
        <w:pBdr>
          <w:bottom w:val="single" w:color="AAAAAA" w:sz="6" w:space="1"/>
        </w:pBdr>
        <w:spacing w:after="120" w:before="120"/>
      </w:pPr>
    </w:p>
    <w:p>
      <w:pPr>
        <w:spacing w:after="120"/>
      </w:pPr>
      <w:r>
        <w:rPr>
          <w:b/>
          <w:bCs/>
        </w:rPr>
        <w:t xml:space="preserve">The through-line: </w:t>
      </w:r>
      <w:r>
        <w:t xml:space="preserve">every choice needs its reason and its cost, and every fallback needs a way to end.</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2026-10-21T16:45:12.745Z</dcterms:created>
  <dcterms:modified xsi:type="dcterms:W3CDTF">2026-10-21T16:45:12.745Z</dcterms:modified>
</cp:coreProperties>
</file>

<file path=docProps/custom.xml><?xml version="1.0" encoding="utf-8"?>
<Properties xmlns="http://schemas.openxmlformats.org/officeDocument/2006/custom-properties" xmlns:vt="http://schemas.openxmlformats.org/officeDocument/2006/docPropsVTypes"/>
</file>