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7661" w14:textId="77777777" w:rsidR="00AD0EA2" w:rsidRPr="00AD0EA2" w:rsidRDefault="00AD0EA2" w:rsidP="00AD0EA2">
      <w:pPr>
        <w:shd w:val="clear" w:color="auto" w:fill="FFFFFF"/>
        <w:spacing w:after="225" w:line="240" w:lineRule="auto"/>
        <w:outlineLvl w:val="0"/>
        <w:rPr>
          <w:rFonts w:ascii="worksafe-halis-bld" w:eastAsia="Times New Roman" w:hAnsi="worksafe-halis-bld" w:cs="Times New Roman"/>
          <w:color w:val="47423C"/>
          <w:kern w:val="36"/>
          <w:sz w:val="42"/>
          <w:szCs w:val="42"/>
          <w:lang w:eastAsia="en-CA"/>
        </w:rPr>
      </w:pPr>
      <w:r w:rsidRPr="00AD0EA2">
        <w:rPr>
          <w:rFonts w:ascii="worksafe-halis-bld" w:eastAsia="Times New Roman" w:hAnsi="worksafe-halis-bld" w:cs="Times New Roman"/>
          <w:color w:val="47423C"/>
          <w:kern w:val="36"/>
          <w:sz w:val="42"/>
          <w:szCs w:val="42"/>
          <w:lang w:eastAsia="en-CA"/>
        </w:rPr>
        <w:t>Statistics: Construction</w:t>
      </w:r>
    </w:p>
    <w:p w14:paraId="7E0E6C28" w14:textId="77777777" w:rsidR="00AD0EA2" w:rsidRPr="00AD0EA2" w:rsidRDefault="00AD0EA2" w:rsidP="00AD0EA2">
      <w:pPr>
        <w:spacing w:after="300" w:line="300" w:lineRule="atLeast"/>
        <w:rPr>
          <w:rFonts w:ascii="Verdana" w:eastAsia="Times New Roman" w:hAnsi="Verdana" w:cs="Times New Roman"/>
          <w:color w:val="453F39"/>
          <w:sz w:val="21"/>
          <w:szCs w:val="21"/>
          <w:lang w:eastAsia="en-CA"/>
        </w:rPr>
      </w:pPr>
      <w:r w:rsidRPr="00AD0EA2">
        <w:rPr>
          <w:rFonts w:ascii="Verdana" w:eastAsia="Times New Roman" w:hAnsi="Verdana" w:cs="Times New Roman"/>
          <w:color w:val="453F39"/>
          <w:sz w:val="21"/>
          <w:szCs w:val="21"/>
          <w:lang w:eastAsia="en-CA"/>
        </w:rPr>
        <w:t>The following charts and graphs provide a high-level view of statistics in the construction sector from 2013 to 2017. You can use these resources to quickly see a comparison of injury rates and serious injuries, and to get information on the top injury types in your industry.</w:t>
      </w:r>
    </w:p>
    <w:p w14:paraId="0A5843BB" w14:textId="77777777" w:rsidR="00AD0EA2" w:rsidRPr="00AD0EA2" w:rsidRDefault="00AD0EA2" w:rsidP="00AD0EA2">
      <w:pPr>
        <w:numPr>
          <w:ilvl w:val="0"/>
          <w:numId w:val="1"/>
        </w:numPr>
        <w:pBdr>
          <w:bottom w:val="single" w:sz="6" w:space="0" w:color="E5E5E5"/>
        </w:pBdr>
        <w:shd w:val="clear" w:color="auto" w:fill="FFFFFF"/>
        <w:spacing w:after="0" w:line="210" w:lineRule="atLeast"/>
        <w:ind w:left="0" w:right="259"/>
        <w:rPr>
          <w:rFonts w:ascii="Verdana" w:eastAsia="Times New Roman" w:hAnsi="Verdana" w:cs="Times New Roman"/>
          <w:b/>
          <w:bCs/>
          <w:sz w:val="21"/>
          <w:szCs w:val="21"/>
          <w:lang w:eastAsia="en-CA"/>
        </w:rPr>
      </w:pPr>
      <w:r w:rsidRPr="00AD0EA2">
        <w:rPr>
          <w:rFonts w:ascii="Verdana" w:eastAsia="Times New Roman" w:hAnsi="Verdana" w:cs="Times New Roman"/>
          <w:b/>
          <w:bCs/>
          <w:color w:val="59899C"/>
          <w:sz w:val="21"/>
          <w:szCs w:val="21"/>
          <w:lang w:eastAsia="en-CA"/>
        </w:rPr>
        <w:t>Injury rate</w:t>
      </w:r>
    </w:p>
    <w:p w14:paraId="772B0086" w14:textId="77777777" w:rsidR="00AD0EA2" w:rsidRPr="00AD0EA2" w:rsidRDefault="00AD0EA2" w:rsidP="00AD0EA2">
      <w:pPr>
        <w:numPr>
          <w:ilvl w:val="0"/>
          <w:numId w:val="1"/>
        </w:numPr>
        <w:shd w:val="clear" w:color="auto" w:fill="FFFFFF"/>
        <w:spacing w:after="0" w:line="210" w:lineRule="atLeast"/>
        <w:ind w:left="0" w:right="259"/>
        <w:rPr>
          <w:rFonts w:ascii="Verdana" w:eastAsia="Times New Roman" w:hAnsi="Verdana" w:cs="Times New Roman"/>
          <w:b/>
          <w:bCs/>
          <w:sz w:val="21"/>
          <w:szCs w:val="21"/>
          <w:lang w:eastAsia="en-CA"/>
        </w:rPr>
      </w:pPr>
      <w:r w:rsidRPr="00AD0EA2">
        <w:rPr>
          <w:rFonts w:ascii="Verdana" w:eastAsia="Times New Roman" w:hAnsi="Verdana" w:cs="Times New Roman"/>
          <w:b/>
          <w:bCs/>
          <w:color w:val="59899C"/>
          <w:sz w:val="21"/>
          <w:szCs w:val="21"/>
          <w:lang w:eastAsia="en-CA"/>
        </w:rPr>
        <w:t>Serious injury claims</w:t>
      </w:r>
    </w:p>
    <w:p w14:paraId="47BFF93C" w14:textId="77777777" w:rsidR="00AD0EA2" w:rsidRPr="00AD0EA2" w:rsidRDefault="00AD0EA2" w:rsidP="00AD0EA2">
      <w:pPr>
        <w:numPr>
          <w:ilvl w:val="0"/>
          <w:numId w:val="2"/>
        </w:numPr>
        <w:pBdr>
          <w:bottom w:val="single" w:sz="6" w:space="0" w:color="E5E5E5"/>
        </w:pBdr>
        <w:shd w:val="clear" w:color="auto" w:fill="FFFFFF"/>
        <w:spacing w:after="0" w:line="210" w:lineRule="atLeast"/>
        <w:ind w:left="0"/>
        <w:rPr>
          <w:rFonts w:ascii="Verdana" w:eastAsia="Times New Roman" w:hAnsi="Verdana" w:cs="Times New Roman"/>
          <w:b/>
          <w:bCs/>
          <w:sz w:val="21"/>
          <w:szCs w:val="21"/>
          <w:lang w:eastAsia="en-CA"/>
        </w:rPr>
      </w:pPr>
      <w:r w:rsidRPr="00AD0EA2">
        <w:rPr>
          <w:rFonts w:ascii="Verdana" w:eastAsia="Times New Roman" w:hAnsi="Verdana" w:cs="Times New Roman"/>
          <w:b/>
          <w:bCs/>
          <w:color w:val="59899C"/>
          <w:sz w:val="21"/>
          <w:szCs w:val="21"/>
          <w:lang w:eastAsia="en-CA"/>
        </w:rPr>
        <w:t>Claim characteristics</w:t>
      </w:r>
    </w:p>
    <w:p w14:paraId="2AC943A5" w14:textId="77777777" w:rsidR="00AD0EA2" w:rsidRPr="00AD0EA2" w:rsidRDefault="00AD0EA2" w:rsidP="00AD0EA2">
      <w:pPr>
        <w:numPr>
          <w:ilvl w:val="0"/>
          <w:numId w:val="2"/>
        </w:numPr>
        <w:shd w:val="clear" w:color="auto" w:fill="FFFFFF"/>
        <w:spacing w:line="210" w:lineRule="atLeast"/>
        <w:ind w:left="0"/>
        <w:rPr>
          <w:rFonts w:ascii="Verdana" w:eastAsia="Times New Roman" w:hAnsi="Verdana" w:cs="Times New Roman"/>
          <w:b/>
          <w:bCs/>
          <w:sz w:val="21"/>
          <w:szCs w:val="21"/>
          <w:lang w:eastAsia="en-CA"/>
        </w:rPr>
      </w:pPr>
      <w:r w:rsidRPr="00AD0EA2">
        <w:rPr>
          <w:rFonts w:ascii="Verdana" w:eastAsia="Times New Roman" w:hAnsi="Verdana" w:cs="Times New Roman"/>
          <w:b/>
          <w:bCs/>
          <w:color w:val="59899C"/>
          <w:sz w:val="21"/>
          <w:szCs w:val="21"/>
          <w:lang w:eastAsia="en-CA"/>
        </w:rPr>
        <w:t>More detailed data</w:t>
      </w:r>
    </w:p>
    <w:p w14:paraId="0634EA69" w14:textId="77777777" w:rsidR="00AD0EA2" w:rsidRPr="00AD0EA2" w:rsidRDefault="00AD0EA2" w:rsidP="00AD0EA2">
      <w:pPr>
        <w:spacing w:after="0" w:line="240" w:lineRule="auto"/>
        <w:outlineLvl w:val="1"/>
        <w:rPr>
          <w:rFonts w:ascii="worksafe-halis-bld" w:eastAsia="Times New Roman" w:hAnsi="worksafe-halis-bld" w:cs="Times New Roman"/>
          <w:color w:val="ED8B00"/>
          <w:sz w:val="32"/>
          <w:szCs w:val="32"/>
          <w:lang w:eastAsia="en-CA"/>
        </w:rPr>
      </w:pPr>
      <w:r w:rsidRPr="00AD0EA2">
        <w:rPr>
          <w:rFonts w:ascii="worksafe-halis-bld" w:eastAsia="Times New Roman" w:hAnsi="worksafe-halis-bld" w:cs="Times New Roman"/>
          <w:color w:val="ED8B00"/>
          <w:sz w:val="32"/>
          <w:szCs w:val="32"/>
          <w:lang w:eastAsia="en-CA"/>
        </w:rPr>
        <w:t>Injury rate</w:t>
      </w:r>
    </w:p>
    <w:p w14:paraId="37116CFA" w14:textId="77777777" w:rsidR="00AD0EA2" w:rsidRPr="00AD0EA2" w:rsidRDefault="00AD0EA2" w:rsidP="00AD0EA2">
      <w:pPr>
        <w:spacing w:after="300" w:line="300" w:lineRule="atLeast"/>
        <w:rPr>
          <w:rFonts w:ascii="Verdana" w:eastAsia="Times New Roman" w:hAnsi="Verdana" w:cs="Times New Roman"/>
          <w:color w:val="453F39"/>
          <w:sz w:val="21"/>
          <w:szCs w:val="21"/>
          <w:lang w:eastAsia="en-CA"/>
        </w:rPr>
      </w:pPr>
      <w:r w:rsidRPr="00AD0EA2">
        <w:rPr>
          <w:rFonts w:ascii="Verdana" w:eastAsia="Times New Roman" w:hAnsi="Verdana" w:cs="Times New Roman"/>
          <w:color w:val="453F39"/>
          <w:sz w:val="21"/>
          <w:szCs w:val="21"/>
          <w:lang w:eastAsia="en-CA"/>
        </w:rPr>
        <w:t xml:space="preserve">The following charts illustrate how many claims and serious injury claims an industry has for every 100 workers, and the change in this rate over the most recent five-year period. Industries with a higher rate than other industries are considered </w:t>
      </w:r>
      <w:proofErr w:type="gramStart"/>
      <w:r w:rsidRPr="00AD0EA2">
        <w:rPr>
          <w:rFonts w:ascii="Verdana" w:eastAsia="Times New Roman" w:hAnsi="Verdana" w:cs="Times New Roman"/>
          <w:color w:val="453F39"/>
          <w:sz w:val="21"/>
          <w:szCs w:val="21"/>
          <w:lang w:eastAsia="en-CA"/>
        </w:rPr>
        <w:t>more risky</w:t>
      </w:r>
      <w:proofErr w:type="gramEnd"/>
      <w:r w:rsidRPr="00AD0EA2">
        <w:rPr>
          <w:rFonts w:ascii="Verdana" w:eastAsia="Times New Roman" w:hAnsi="Verdana" w:cs="Times New Roman"/>
          <w:color w:val="453F39"/>
          <w:sz w:val="21"/>
          <w:szCs w:val="21"/>
          <w:lang w:eastAsia="en-CA"/>
        </w:rPr>
        <w:t>, while industries with a lower rate are considered less risky. The ultimate target is to have an injury rate of zero.</w:t>
      </w:r>
    </w:p>
    <w:p w14:paraId="328E7A74" w14:textId="618FDDA1" w:rsidR="00AD0EA2" w:rsidRPr="00AD0EA2" w:rsidRDefault="00AD0EA2" w:rsidP="00AD0EA2">
      <w:pPr>
        <w:spacing w:after="0" w:line="240" w:lineRule="auto"/>
        <w:rPr>
          <w:rFonts w:ascii="Times New Roman" w:eastAsia="Times New Roman" w:hAnsi="Times New Roman" w:cs="Times New Roman"/>
          <w:sz w:val="24"/>
          <w:szCs w:val="24"/>
          <w:lang w:eastAsia="en-CA"/>
        </w:rPr>
      </w:pPr>
      <w:r w:rsidRPr="00AD0EA2">
        <w:rPr>
          <w:rFonts w:ascii="Times New Roman" w:eastAsia="Times New Roman" w:hAnsi="Times New Roman" w:cs="Times New Roman"/>
          <w:noProof/>
          <w:sz w:val="24"/>
          <w:szCs w:val="24"/>
          <w:lang w:eastAsia="en-CA"/>
        </w:rPr>
        <w:lastRenderedPageBreak/>
        <w:drawing>
          <wp:inline distT="0" distB="0" distL="0" distR="0" wp14:anchorId="5505148E" wp14:editId="6AE80189">
            <wp:extent cx="5943600" cy="4702175"/>
            <wp:effectExtent l="0" t="0" r="0" b="3175"/>
            <wp:docPr id="5" name="Picture 5" descr="Injury rate comparison construction sector 2013 to 2017. 2013: General construction = 4.1, Heavy construction = 3.5, Road construction or maintenance = 2.7, Construction = 4.0, All of B.C. = 2.3. 2014: General construction = 4.2, Heavy construction = 3.4, Road construction or maintenance = 2.6, Construction = 4.0, All of B.C. = 2.3. 2015: General construction = 4.2, Heavy construction = 3.1; Road construction or maintenance = 2.7, Construction = 4.1, All of B.C. = 2.2. 2016: General construction = 4.2, Heavy construction = 3.3, Road construction or maintenance = 2.6, Construction = 4.0; All of B.C. = 2.2. 2017: General construction = 3.9, Heavy construction = 3.4; Road construction or maintenance = 2.7, Construction = 3.9, All of B.C. =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ury rate comparison construction sector 2013 to 2017. 2013: General construction = 4.1, Heavy construction = 3.5, Road construction or maintenance = 2.7, Construction = 4.0, All of B.C. = 2.3. 2014: General construction = 4.2, Heavy construction = 3.4, Road construction or maintenance = 2.6, Construction = 4.0, All of B.C. = 2.3. 2015: General construction = 4.2, Heavy construction = 3.1; Road construction or maintenance = 2.7, Construction = 4.1, All of B.C. = 2.2. 2016: General construction = 4.2, Heavy construction = 3.3, Road construction or maintenance = 2.6, Construction = 4.0; All of B.C. = 2.2. 2017: General construction = 3.9, Heavy construction = 3.4; Road construction or maintenance = 2.7, Construction = 3.9, All of B.C. =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r w:rsidRPr="00AD0EA2">
        <w:rPr>
          <w:rFonts w:ascii="Times New Roman" w:eastAsia="Times New Roman" w:hAnsi="Times New Roman" w:cs="Times New Roman"/>
          <w:sz w:val="24"/>
          <w:szCs w:val="24"/>
          <w:lang w:eastAsia="en-CA"/>
        </w:rPr>
        <w:t> </w:t>
      </w:r>
    </w:p>
    <w:p w14:paraId="1EFC807F" w14:textId="77777777" w:rsidR="00AD0EA2" w:rsidRPr="00AD0EA2" w:rsidRDefault="00AD0EA2" w:rsidP="00AD0EA2">
      <w:pPr>
        <w:spacing w:after="0" w:line="240" w:lineRule="auto"/>
        <w:outlineLvl w:val="1"/>
        <w:rPr>
          <w:rFonts w:ascii="worksafe-halis-bld" w:eastAsia="Times New Roman" w:hAnsi="worksafe-halis-bld" w:cs="Times New Roman"/>
          <w:color w:val="ED8B00"/>
          <w:sz w:val="32"/>
          <w:szCs w:val="32"/>
          <w:lang w:eastAsia="en-CA"/>
        </w:rPr>
      </w:pPr>
      <w:r w:rsidRPr="00AD0EA2">
        <w:rPr>
          <w:rFonts w:ascii="worksafe-halis-bld" w:eastAsia="Times New Roman" w:hAnsi="worksafe-halis-bld" w:cs="Times New Roman"/>
          <w:color w:val="ED8B00"/>
          <w:sz w:val="32"/>
          <w:szCs w:val="32"/>
          <w:lang w:eastAsia="en-CA"/>
        </w:rPr>
        <w:t>Serious injury claims</w:t>
      </w:r>
    </w:p>
    <w:p w14:paraId="57DA3F22" w14:textId="4CFB539F" w:rsidR="00AD0EA2" w:rsidRPr="00AD0EA2" w:rsidRDefault="00AD0EA2" w:rsidP="00AD0EA2">
      <w:pPr>
        <w:spacing w:after="0" w:line="240" w:lineRule="auto"/>
        <w:rPr>
          <w:rFonts w:ascii="Times New Roman" w:eastAsia="Times New Roman" w:hAnsi="Times New Roman" w:cs="Times New Roman"/>
          <w:sz w:val="24"/>
          <w:szCs w:val="24"/>
          <w:lang w:eastAsia="en-CA"/>
        </w:rPr>
      </w:pPr>
      <w:r w:rsidRPr="00AD0EA2">
        <w:rPr>
          <w:rFonts w:ascii="Times New Roman" w:eastAsia="Times New Roman" w:hAnsi="Times New Roman" w:cs="Times New Roman"/>
          <w:noProof/>
          <w:sz w:val="24"/>
          <w:szCs w:val="24"/>
          <w:lang w:eastAsia="en-CA"/>
        </w:rPr>
        <w:lastRenderedPageBreak/>
        <w:drawing>
          <wp:inline distT="0" distB="0" distL="0" distR="0" wp14:anchorId="3EF271F0" wp14:editId="00A4CA8E">
            <wp:extent cx="5943600" cy="4702175"/>
            <wp:effectExtent l="0" t="0" r="0" b="3175"/>
            <wp:docPr id="4" name="Picture 4" descr="Serious injury rate comparison construction sector 2013 to 2017. Construction: 2013 = 0.8, 2014 = 0.8, 2015 = 0.9, 2016 = 0.8, 2017 = 0.8. All of B.C.: 2013 = 0.3, 2014 = 0.3, 2015 = 0.3, 2016 = 0.3, 2017 =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ous injury rate comparison construction sector 2013 to 2017. Construction: 2013 = 0.8, 2014 = 0.8, 2015 = 0.9, 2016 = 0.8, 2017 = 0.8. All of B.C.: 2013 = 0.3, 2014 = 0.3, 2015 = 0.3, 2016 = 0.3, 2017 = 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r w:rsidRPr="00AD0EA2">
        <w:rPr>
          <w:rFonts w:ascii="Times New Roman" w:eastAsia="Times New Roman" w:hAnsi="Times New Roman" w:cs="Times New Roman"/>
          <w:sz w:val="24"/>
          <w:szCs w:val="24"/>
          <w:lang w:eastAsia="en-CA"/>
        </w:rPr>
        <w:t> </w:t>
      </w:r>
    </w:p>
    <w:p w14:paraId="6AB4E1A0" w14:textId="77777777" w:rsidR="00AD0EA2" w:rsidRPr="00AD0EA2" w:rsidRDefault="00AD0EA2" w:rsidP="00AD0EA2">
      <w:pPr>
        <w:spacing w:after="300" w:line="300" w:lineRule="atLeast"/>
        <w:rPr>
          <w:rFonts w:ascii="Verdana" w:eastAsia="Times New Roman" w:hAnsi="Verdana" w:cs="Times New Roman"/>
          <w:color w:val="453F39"/>
          <w:sz w:val="21"/>
          <w:szCs w:val="21"/>
          <w:lang w:eastAsia="en-CA"/>
        </w:rPr>
      </w:pPr>
      <w:r w:rsidRPr="00AD0EA2">
        <w:rPr>
          <w:rFonts w:ascii="Verdana" w:eastAsia="Times New Roman" w:hAnsi="Verdana" w:cs="Times New Roman"/>
          <w:color w:val="453F39"/>
          <w:sz w:val="21"/>
          <w:szCs w:val="21"/>
          <w:lang w:eastAsia="en-CA"/>
        </w:rPr>
        <w:t>For more on serious injuries, see the </w:t>
      </w:r>
      <w:hyperlink r:id="rId7" w:anchor="!/vizhome/SeriousInjuryDashboard/SeriousInjuriesatWork" w:tgtFrame="_blank" w:history="1">
        <w:r w:rsidRPr="00AD0EA2">
          <w:rPr>
            <w:rFonts w:ascii="Verdana" w:eastAsia="Times New Roman" w:hAnsi="Verdana" w:cs="Times New Roman"/>
            <w:color w:val="59899C"/>
            <w:sz w:val="21"/>
            <w:szCs w:val="21"/>
            <w:lang w:eastAsia="en-CA"/>
          </w:rPr>
          <w:t>Serious Injuries Dashboard</w:t>
        </w:r>
      </w:hyperlink>
      <w:r w:rsidRPr="00AD0EA2">
        <w:rPr>
          <w:rFonts w:ascii="Verdana" w:eastAsia="Times New Roman" w:hAnsi="Verdana" w:cs="Times New Roman"/>
          <w:color w:val="453F39"/>
          <w:sz w:val="21"/>
          <w:szCs w:val="21"/>
          <w:lang w:eastAsia="en-CA"/>
        </w:rPr>
        <w:t>.</w:t>
      </w:r>
    </w:p>
    <w:p w14:paraId="3840B501" w14:textId="49430EEC" w:rsidR="00AD0EA2" w:rsidRPr="00AD0EA2" w:rsidRDefault="00AD0EA2" w:rsidP="00AD0EA2">
      <w:pPr>
        <w:spacing w:after="0" w:line="240" w:lineRule="auto"/>
        <w:rPr>
          <w:rFonts w:ascii="Times New Roman" w:eastAsia="Times New Roman" w:hAnsi="Times New Roman" w:cs="Times New Roman"/>
          <w:sz w:val="24"/>
          <w:szCs w:val="24"/>
          <w:lang w:eastAsia="en-CA"/>
        </w:rPr>
      </w:pPr>
      <w:r w:rsidRPr="00AD0EA2">
        <w:rPr>
          <w:rFonts w:ascii="Times New Roman" w:eastAsia="Times New Roman" w:hAnsi="Times New Roman" w:cs="Times New Roman"/>
          <w:noProof/>
          <w:sz w:val="24"/>
          <w:szCs w:val="24"/>
          <w:lang w:eastAsia="en-CA"/>
        </w:rPr>
        <w:lastRenderedPageBreak/>
        <w:drawing>
          <wp:inline distT="0" distB="0" distL="0" distR="0" wp14:anchorId="7609E2AB" wp14:editId="385C5559">
            <wp:extent cx="5943600" cy="4702175"/>
            <wp:effectExtent l="0" t="0" r="0" b="3175"/>
            <wp:docPr id="3" name="Picture 3" descr="Number of serious injury claims vs. the number of time-loss claims construction sector 2013-2017. Number serious injury claims: 2013 = 1,325, 2014 = 1,382, 2015 = 1,485, 2016 = 1,461, 2017 = 1,609. Number time-loss claims: 2013 = 6,654, 2014 = 6,728, 2015 = 6,845, 2016 = 7,044, 2017 = 7,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 of serious injury claims vs. the number of time-loss claims construction sector 2013-2017. Number serious injury claims: 2013 = 1,325, 2014 = 1,382, 2015 = 1,485, 2016 = 1,461, 2017 = 1,609. Number time-loss claims: 2013 = 6,654, 2014 = 6,728, 2015 = 6,845, 2016 = 7,044, 2017 = 7,5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r w:rsidRPr="00AD0EA2">
        <w:rPr>
          <w:rFonts w:ascii="Times New Roman" w:eastAsia="Times New Roman" w:hAnsi="Times New Roman" w:cs="Times New Roman"/>
          <w:sz w:val="24"/>
          <w:szCs w:val="24"/>
          <w:lang w:eastAsia="en-CA"/>
        </w:rPr>
        <w:t> </w:t>
      </w:r>
    </w:p>
    <w:p w14:paraId="256CC733" w14:textId="77777777" w:rsidR="00AD0EA2" w:rsidRPr="00AD0EA2" w:rsidRDefault="00AD0EA2" w:rsidP="00AD0EA2">
      <w:pPr>
        <w:spacing w:after="0" w:line="240" w:lineRule="auto"/>
        <w:outlineLvl w:val="1"/>
        <w:rPr>
          <w:rFonts w:ascii="worksafe-halis-bld" w:eastAsia="Times New Roman" w:hAnsi="worksafe-halis-bld" w:cs="Times New Roman"/>
          <w:color w:val="ED8B00"/>
          <w:sz w:val="32"/>
          <w:szCs w:val="32"/>
          <w:lang w:eastAsia="en-CA"/>
        </w:rPr>
      </w:pPr>
      <w:r w:rsidRPr="00AD0EA2">
        <w:rPr>
          <w:rFonts w:ascii="worksafe-halis-bld" w:eastAsia="Times New Roman" w:hAnsi="worksafe-halis-bld" w:cs="Times New Roman"/>
          <w:color w:val="ED8B00"/>
          <w:sz w:val="32"/>
          <w:szCs w:val="32"/>
          <w:lang w:eastAsia="en-CA"/>
        </w:rPr>
        <w:t>Claim characteristics</w:t>
      </w:r>
    </w:p>
    <w:p w14:paraId="5922AF37" w14:textId="77777777" w:rsidR="00AD0EA2" w:rsidRPr="00AD0EA2" w:rsidRDefault="00AD0EA2" w:rsidP="00AD0EA2">
      <w:pPr>
        <w:spacing w:after="0" w:line="240" w:lineRule="auto"/>
        <w:outlineLvl w:val="2"/>
        <w:rPr>
          <w:rFonts w:ascii="Verdana" w:eastAsia="Times New Roman" w:hAnsi="Verdana" w:cs="Times New Roman"/>
          <w:b/>
          <w:bCs/>
          <w:color w:val="453F39"/>
          <w:sz w:val="21"/>
          <w:szCs w:val="21"/>
          <w:lang w:eastAsia="en-CA"/>
        </w:rPr>
      </w:pPr>
      <w:r w:rsidRPr="00AD0EA2">
        <w:rPr>
          <w:rFonts w:ascii="Verdana" w:eastAsia="Times New Roman" w:hAnsi="Verdana" w:cs="Times New Roman"/>
          <w:b/>
          <w:bCs/>
          <w:color w:val="453F39"/>
          <w:sz w:val="21"/>
          <w:szCs w:val="21"/>
          <w:lang w:eastAsia="en-CA"/>
        </w:rPr>
        <w:t>Incident type</w:t>
      </w:r>
    </w:p>
    <w:p w14:paraId="22A8B9F5" w14:textId="77777777" w:rsidR="00AD0EA2" w:rsidRPr="00AD0EA2" w:rsidRDefault="00AD0EA2" w:rsidP="00AD0EA2">
      <w:pPr>
        <w:spacing w:after="300" w:line="300" w:lineRule="atLeast"/>
        <w:rPr>
          <w:rFonts w:ascii="Verdana" w:eastAsia="Times New Roman" w:hAnsi="Verdana" w:cs="Times New Roman"/>
          <w:color w:val="453F39"/>
          <w:sz w:val="21"/>
          <w:szCs w:val="21"/>
          <w:lang w:eastAsia="en-CA"/>
        </w:rPr>
      </w:pPr>
      <w:r w:rsidRPr="00AD0EA2">
        <w:rPr>
          <w:rFonts w:ascii="Verdana" w:eastAsia="Times New Roman" w:hAnsi="Verdana" w:cs="Times New Roman"/>
          <w:color w:val="453F39"/>
          <w:sz w:val="21"/>
          <w:szCs w:val="21"/>
          <w:lang w:eastAsia="en-CA"/>
        </w:rPr>
        <w:t>The following charts illustrate the leading causes of injuries in the industry over a five-year period. Incident types that represent a high percentage of claims in an industry are potential focus areas for health and safety programs.</w:t>
      </w:r>
    </w:p>
    <w:p w14:paraId="3DF2B1D6" w14:textId="7700BF63" w:rsidR="00AD0EA2" w:rsidRPr="00AD0EA2" w:rsidRDefault="00AD0EA2" w:rsidP="00AD0EA2">
      <w:pPr>
        <w:spacing w:after="0" w:line="240" w:lineRule="auto"/>
        <w:rPr>
          <w:rFonts w:ascii="Times New Roman" w:eastAsia="Times New Roman" w:hAnsi="Times New Roman" w:cs="Times New Roman"/>
          <w:sz w:val="24"/>
          <w:szCs w:val="24"/>
          <w:lang w:eastAsia="en-CA"/>
        </w:rPr>
      </w:pPr>
      <w:r w:rsidRPr="00AD0EA2">
        <w:rPr>
          <w:rFonts w:ascii="Times New Roman" w:eastAsia="Times New Roman" w:hAnsi="Times New Roman" w:cs="Times New Roman"/>
          <w:noProof/>
          <w:sz w:val="24"/>
          <w:szCs w:val="24"/>
          <w:lang w:eastAsia="en-CA"/>
        </w:rPr>
        <w:lastRenderedPageBreak/>
        <w:drawing>
          <wp:inline distT="0" distB="0" distL="0" distR="0" wp14:anchorId="7449BC32" wp14:editId="63B3779D">
            <wp:extent cx="5943600" cy="4702175"/>
            <wp:effectExtent l="0" t="0" r="0" b="3175"/>
            <wp:docPr id="2" name="Picture 2" descr="2017 construction industry claim count by incident type: Overexertion=25%, Struck by = 20%, Fall from elevation = 17%, Fall on same level = 8%, Struck against = 7%, Other bodily motion = 5%, Involuntary motion = 3%; Caught in = 3%, Repetitive motion = 3%, Matter in eye = 2%, Other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7 construction industry claim count by incident type: Overexertion=25%, Struck by = 20%, Fall from elevation = 17%, Fall on same level = 8%, Struck against = 7%, Other bodily motion = 5%, Involuntary motion = 3%; Caught in = 3%, Repetitive motion = 3%, Matter in eye = 2%, Other =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r w:rsidRPr="00AD0EA2">
        <w:rPr>
          <w:rFonts w:ascii="Times New Roman" w:eastAsia="Times New Roman" w:hAnsi="Times New Roman" w:cs="Times New Roman"/>
          <w:sz w:val="24"/>
          <w:szCs w:val="24"/>
          <w:lang w:eastAsia="en-CA"/>
        </w:rPr>
        <w:t> </w:t>
      </w:r>
    </w:p>
    <w:p w14:paraId="229D43AC" w14:textId="77777777" w:rsidR="00AD0EA2" w:rsidRPr="00AD0EA2" w:rsidRDefault="00AD0EA2" w:rsidP="00AD0EA2">
      <w:pPr>
        <w:spacing w:after="0" w:line="240" w:lineRule="auto"/>
        <w:outlineLvl w:val="2"/>
        <w:rPr>
          <w:rFonts w:ascii="Verdana" w:eastAsia="Times New Roman" w:hAnsi="Verdana" w:cs="Times New Roman"/>
          <w:b/>
          <w:bCs/>
          <w:color w:val="453F39"/>
          <w:sz w:val="21"/>
          <w:szCs w:val="21"/>
          <w:lang w:eastAsia="en-CA"/>
        </w:rPr>
      </w:pPr>
      <w:r w:rsidRPr="00AD0EA2">
        <w:rPr>
          <w:rFonts w:ascii="Verdana" w:eastAsia="Times New Roman" w:hAnsi="Verdana" w:cs="Times New Roman"/>
          <w:b/>
          <w:bCs/>
          <w:color w:val="453F39"/>
          <w:sz w:val="21"/>
          <w:szCs w:val="21"/>
          <w:lang w:eastAsia="en-CA"/>
        </w:rPr>
        <w:t>Sources of injury</w:t>
      </w:r>
    </w:p>
    <w:p w14:paraId="0639EAAA" w14:textId="77777777" w:rsidR="00AD0EA2" w:rsidRPr="00AD0EA2" w:rsidRDefault="00AD0EA2" w:rsidP="00AD0EA2">
      <w:pPr>
        <w:spacing w:after="300" w:line="300" w:lineRule="atLeast"/>
        <w:rPr>
          <w:rFonts w:ascii="Verdana" w:eastAsia="Times New Roman" w:hAnsi="Verdana" w:cs="Times New Roman"/>
          <w:color w:val="453F39"/>
          <w:sz w:val="21"/>
          <w:szCs w:val="21"/>
          <w:lang w:eastAsia="en-CA"/>
        </w:rPr>
      </w:pPr>
      <w:r w:rsidRPr="00AD0EA2">
        <w:rPr>
          <w:rFonts w:ascii="Verdana" w:eastAsia="Times New Roman" w:hAnsi="Verdana" w:cs="Times New Roman"/>
          <w:color w:val="453F39"/>
          <w:sz w:val="21"/>
          <w:szCs w:val="21"/>
          <w:lang w:eastAsia="en-CA"/>
        </w:rPr>
        <w:t>The following charts illustrate the leading sources of injury over a five-year period. Sources of injuries contributing to a high percentage of claims or claim costs paid in an industry are potential focus areas for health and safety.</w:t>
      </w:r>
    </w:p>
    <w:p w14:paraId="76EC32AD" w14:textId="34B4A3CB" w:rsidR="00AD0EA2" w:rsidRPr="00AD0EA2" w:rsidRDefault="00AD0EA2" w:rsidP="00AD0EA2">
      <w:pPr>
        <w:spacing w:after="0" w:line="240" w:lineRule="auto"/>
        <w:rPr>
          <w:rFonts w:ascii="Times New Roman" w:eastAsia="Times New Roman" w:hAnsi="Times New Roman" w:cs="Times New Roman"/>
          <w:sz w:val="24"/>
          <w:szCs w:val="24"/>
          <w:lang w:eastAsia="en-CA"/>
        </w:rPr>
      </w:pPr>
      <w:r w:rsidRPr="00AD0EA2">
        <w:rPr>
          <w:rFonts w:ascii="Times New Roman" w:eastAsia="Times New Roman" w:hAnsi="Times New Roman" w:cs="Times New Roman"/>
          <w:noProof/>
          <w:sz w:val="24"/>
          <w:szCs w:val="24"/>
          <w:lang w:eastAsia="en-CA"/>
        </w:rPr>
        <w:lastRenderedPageBreak/>
        <w:drawing>
          <wp:inline distT="0" distB="0" distL="0" distR="0" wp14:anchorId="4BC5B097" wp14:editId="272AEC36">
            <wp:extent cx="5943600" cy="4702175"/>
            <wp:effectExtent l="0" t="0" r="0" b="3175"/>
            <wp:docPr id="1" name="Picture 1" descr="2017 construction industry claim count by source of injury: Working surfaces = 19%, Metal = 13%, Bodily motion = 11%, Hand tools = 8%, Logs, tree products = 6%, Miscellaneous = 6%, Buildings &amp; structures = 6%, Boxes, containers = 5%, Power tools = 5%, Vehicles = 4%, Others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 construction industry claim count by source of injury: Working surfaces = 19%, Metal = 13%, Bodily motion = 11%, Hand tools = 8%, Logs, tree products = 6%, Miscellaneous = 6%, Buildings &amp; structures = 6%, Boxes, containers = 5%, Power tools = 5%, Vehicles = 4%, Others =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r w:rsidRPr="00AD0EA2">
        <w:rPr>
          <w:rFonts w:ascii="Times New Roman" w:eastAsia="Times New Roman" w:hAnsi="Times New Roman" w:cs="Times New Roman"/>
          <w:sz w:val="24"/>
          <w:szCs w:val="24"/>
          <w:lang w:eastAsia="en-CA"/>
        </w:rPr>
        <w:t> </w:t>
      </w:r>
    </w:p>
    <w:p w14:paraId="5E611C85" w14:textId="77777777" w:rsidR="00AD0EA2" w:rsidRPr="00AD0EA2" w:rsidRDefault="00AD0EA2" w:rsidP="00AD0EA2">
      <w:pPr>
        <w:spacing w:after="0" w:line="240" w:lineRule="auto"/>
        <w:outlineLvl w:val="1"/>
        <w:rPr>
          <w:rFonts w:ascii="worksafe-halis-bld" w:eastAsia="Times New Roman" w:hAnsi="worksafe-halis-bld" w:cs="Times New Roman"/>
          <w:color w:val="ED8B00"/>
          <w:sz w:val="32"/>
          <w:szCs w:val="32"/>
          <w:lang w:eastAsia="en-CA"/>
        </w:rPr>
      </w:pPr>
      <w:r w:rsidRPr="00AD0EA2">
        <w:rPr>
          <w:rFonts w:ascii="worksafe-halis-bld" w:eastAsia="Times New Roman" w:hAnsi="worksafe-halis-bld" w:cs="Times New Roman"/>
          <w:color w:val="ED8B00"/>
          <w:sz w:val="32"/>
          <w:szCs w:val="32"/>
          <w:lang w:eastAsia="en-CA"/>
        </w:rPr>
        <w:t>More detailed data</w:t>
      </w:r>
    </w:p>
    <w:p w14:paraId="4E8FF5F4" w14:textId="77777777" w:rsidR="00AD0EA2" w:rsidRPr="00AD0EA2" w:rsidRDefault="00AD0EA2" w:rsidP="00AD0EA2">
      <w:pPr>
        <w:spacing w:after="300" w:line="300" w:lineRule="atLeast"/>
        <w:rPr>
          <w:rFonts w:ascii="Verdana" w:eastAsia="Times New Roman" w:hAnsi="Verdana" w:cs="Times New Roman"/>
          <w:color w:val="453F39"/>
          <w:sz w:val="21"/>
          <w:szCs w:val="21"/>
          <w:lang w:eastAsia="en-CA"/>
        </w:rPr>
      </w:pPr>
      <w:r w:rsidRPr="00AD0EA2">
        <w:rPr>
          <w:rFonts w:ascii="Verdana" w:eastAsia="Times New Roman" w:hAnsi="Verdana" w:cs="Times New Roman"/>
          <w:color w:val="453F39"/>
          <w:sz w:val="21"/>
          <w:szCs w:val="21"/>
          <w:lang w:eastAsia="en-CA"/>
        </w:rPr>
        <w:t>The </w:t>
      </w:r>
      <w:hyperlink r:id="rId11" w:history="1">
        <w:r w:rsidRPr="00AD0EA2">
          <w:rPr>
            <w:rFonts w:ascii="Verdana" w:eastAsia="Times New Roman" w:hAnsi="Verdana" w:cs="Times New Roman"/>
            <w:color w:val="59899C"/>
            <w:sz w:val="21"/>
            <w:szCs w:val="21"/>
            <w:lang w:eastAsia="en-CA"/>
          </w:rPr>
          <w:t>Industry Safety Information Centre</w:t>
        </w:r>
      </w:hyperlink>
      <w:r w:rsidRPr="00AD0EA2">
        <w:rPr>
          <w:rFonts w:ascii="Verdana" w:eastAsia="Times New Roman" w:hAnsi="Verdana" w:cs="Times New Roman"/>
          <w:color w:val="453F39"/>
          <w:sz w:val="21"/>
          <w:szCs w:val="21"/>
          <w:lang w:eastAsia="en-CA"/>
        </w:rPr>
        <w:t> (ISIC) allows you to get detailed data for any industry or classification unit such as injury rates, claim costs, injury characteristics, and assessment rates. You can use the ISIC application to look at information for any industry and industry subsector in B.C. by selecting the appropriate classification units from its drop-down menus on the right-hand side.</w:t>
      </w:r>
    </w:p>
    <w:p w14:paraId="1B7B7772" w14:textId="77777777" w:rsidR="00844ECE" w:rsidRDefault="00844ECE">
      <w:bookmarkStart w:id="0" w:name="_GoBack"/>
      <w:bookmarkEnd w:id="0"/>
    </w:p>
    <w:sectPr w:rsidR="00844E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orksafe-halis-bld">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82E81"/>
    <w:multiLevelType w:val="multilevel"/>
    <w:tmpl w:val="9C8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258AD"/>
    <w:multiLevelType w:val="multilevel"/>
    <w:tmpl w:val="432A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3E"/>
    <w:rsid w:val="00844ECE"/>
    <w:rsid w:val="00A1673E"/>
    <w:rsid w:val="00AD0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76772-B127-470B-B04A-4C855586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E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D0EA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D0EA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EA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D0EA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D0EA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AD0EA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D0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8016">
      <w:bodyDiv w:val="1"/>
      <w:marLeft w:val="0"/>
      <w:marRight w:val="0"/>
      <w:marTop w:val="0"/>
      <w:marBottom w:val="0"/>
      <w:divBdr>
        <w:top w:val="none" w:sz="0" w:space="0" w:color="auto"/>
        <w:left w:val="none" w:sz="0" w:space="0" w:color="auto"/>
        <w:bottom w:val="none" w:sz="0" w:space="0" w:color="auto"/>
        <w:right w:val="none" w:sz="0" w:space="0" w:color="auto"/>
      </w:divBdr>
      <w:divsChild>
        <w:div w:id="2019386578">
          <w:marLeft w:val="0"/>
          <w:marRight w:val="0"/>
          <w:marTop w:val="0"/>
          <w:marBottom w:val="450"/>
          <w:divBdr>
            <w:top w:val="single" w:sz="36" w:space="0" w:color="E5E5E5"/>
            <w:left w:val="none" w:sz="0" w:space="0" w:color="auto"/>
            <w:bottom w:val="single" w:sz="36" w:space="0" w:color="E5E5E5"/>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profile/worksafeb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nline.worksafebc.com/anonymous/wcb.ISR.web/Default.aspx?_ga=1.28525948.1723231053.1444778843"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2019-02-11T04:01:00Z</dcterms:created>
  <dcterms:modified xsi:type="dcterms:W3CDTF">2019-02-11T04:01:00Z</dcterms:modified>
</cp:coreProperties>
</file>