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color w:val="1F497D"/>
          <w:sz w:val="30"/>
        </w:rPr>
        <w:t>Term Sheet Reconciliation</w:t>
      </w:r>
    </w:p>
    <w:p>
      <w:pPr>
        <w:spacing w:after="40"/>
        <w:jc w:val="center"/>
      </w:pPr>
      <w:r>
        <w:rPr>
          <w:b w:val="0"/>
          <w:i/>
          <w:color w:val="404040"/>
          <w:sz w:val="19"/>
        </w:rPr>
        <w:t>Workflow &amp; Design Report  |  Assignment Submission</w:t>
      </w:r>
    </w:p>
    <w:p>
      <w:pPr>
        <w:spacing w:after="160"/>
        <w:jc w:val="center"/>
      </w:pPr>
      <w:r>
        <w:rPr>
          <w:b w:val="0"/>
          <w:i/>
          <w:color w:val="808080"/>
          <w:sz w:val="17"/>
        </w:rPr>
        <w:t>Automated LLM-Based Field Extraction, Schema Validation &amp; Cross-Source Reconciliation</w:t>
      </w:r>
    </w:p>
    <w:p>
      <w:pPr>
        <w:spacing w:before="160" w:after="40"/>
        <w:pBdr>
          <w:bottom w:val="single" w:sz="6" w:space="1" w:color="1F497D"/>
        </w:pBdr>
      </w:pPr>
      <w:r>
        <w:rPr>
          <w:b/>
          <w:i w:val="0"/>
          <w:color w:val="1F497D"/>
          <w:sz w:val="22"/>
        </w:rPr>
        <w:t>1. WORKFLOW OVERVIEW</w:t>
      </w:r>
    </w:p>
    <w:p>
      <w:pPr>
        <w:spacing w:before="20" w:after="40"/>
      </w:pPr>
      <w:r>
        <w:rPr>
          <w:b w:val="0"/>
          <w:i w:val="0"/>
          <w:color w:val="404040"/>
          <w:sz w:val="19"/>
        </w:rPr>
        <w:t>The solution is a single end-to-end Databricks notebook that ingests term-sheet PDFs and booking extracts, performs fully automated LLM-based field extraction, validates outputs against a strict typed schema, reconciles every target field against booking data, and writes reviewer-ready CSV artifacts — with no manual steps.</w:t>
      </w:r>
    </w:p>
    <w:p>
      <w:pPr>
        <w:spacing w:before="60" w:after="40"/>
      </w:pPr>
      <w:r>
        <w:rPr>
          <w:b/>
          <w:i w:val="0"/>
          <w:color w:val="2E75B6"/>
          <w:sz w:val="19"/>
        </w:rPr>
        <w:t>Pipeline Stages</w:t>
      </w:r>
    </w:p>
    <w:tbl>
      <w:tblPr>
        <w:tblStyle w:val="TableGrid"/>
        <w:tblW w:type="auto" w:w="0"/>
        <w:tblLayout w:type="fixed"/>
        <w:tblLook w:firstColumn="1" w:firstRow="1" w:lastColumn="0" w:lastRow="0" w:noHBand="0" w:noVBand="1" w:val="04A0"/>
      </w:tblPr>
      <w:tblGrid>
        <w:gridCol w:w="2721"/>
        <w:gridCol w:w="6803"/>
      </w:tblGrid>
      <w:tr>
        <w:tc>
          <w:tcPr>
            <w:tcW w:type="dxa" w:w="4873"/>
            <w:shd w:val="clear" w:color="auto" w:fill="DEEAF1"/>
          </w:tcPr>
          <w:p>
            <w:pPr>
              <w:spacing w:before="40" w:after="40"/>
            </w:pPr>
            <w:r>
              <w:rPr>
                <w:b/>
                <w:i w:val="0"/>
                <w:color w:val="1F497D"/>
                <w:sz w:val="18"/>
              </w:rPr>
              <w:t>Stage 1  PDF Ingestion</w:t>
            </w:r>
          </w:p>
        </w:tc>
        <w:tc>
          <w:tcPr>
            <w:tcW w:type="dxa" w:w="4873"/>
          </w:tcPr>
          <w:p>
            <w:pPr>
              <w:spacing w:before="40" w:after="40"/>
            </w:pPr>
            <w:r>
              <w:rPr>
                <w:b w:val="0"/>
                <w:i w:val="0"/>
                <w:color w:val="404040"/>
                <w:sz w:val="18"/>
              </w:rPr>
              <w:t>READ_FILES reads term-sheet PDFs as binary content from the assignment volume path.</w:t>
            </w:r>
          </w:p>
        </w:tc>
      </w:tr>
      <w:tr>
        <w:tc>
          <w:tcPr>
            <w:tcW w:type="dxa" w:w="4873"/>
            <w:shd w:val="clear" w:color="auto" w:fill="DEEAF1"/>
          </w:tcPr>
          <w:p>
            <w:pPr>
              <w:spacing w:before="40" w:after="40"/>
            </w:pPr>
            <w:r>
              <w:rPr>
                <w:b/>
                <w:i w:val="0"/>
                <w:color w:val="1F497D"/>
                <w:sz w:val="18"/>
              </w:rPr>
              <w:t>Stage 2  Document Parsing</w:t>
            </w:r>
          </w:p>
        </w:tc>
        <w:tc>
          <w:tcPr>
            <w:tcW w:type="dxa" w:w="4873"/>
          </w:tcPr>
          <w:p>
            <w:pPr>
              <w:spacing w:before="40" w:after="40"/>
            </w:pPr>
            <w:r>
              <w:rPr>
                <w:b w:val="0"/>
                <w:i w:val="0"/>
                <w:color w:val="404040"/>
                <w:sz w:val="18"/>
              </w:rPr>
              <w:t>ai_parse_document (v2.0) returns document text and detected HTML tables.</w:t>
            </w:r>
          </w:p>
        </w:tc>
      </w:tr>
      <w:tr>
        <w:tc>
          <w:tcPr>
            <w:tcW w:type="dxa" w:w="4873"/>
            <w:shd w:val="clear" w:color="auto" w:fill="DEEAF1"/>
          </w:tcPr>
          <w:p>
            <w:pPr>
              <w:spacing w:before="40" w:after="40"/>
            </w:pPr>
            <w:r>
              <w:rPr>
                <w:b/>
                <w:i w:val="0"/>
                <w:color w:val="1F497D"/>
                <w:sz w:val="18"/>
              </w:rPr>
              <w:t>Stage 3  Excel Export</w:t>
            </w:r>
          </w:p>
        </w:tc>
        <w:tc>
          <w:tcPr>
            <w:tcW w:type="dxa" w:w="4873"/>
          </w:tcPr>
          <w:p>
            <w:pPr>
              <w:spacing w:before="40" w:after="40"/>
            </w:pPr>
            <w:r>
              <w:rPr>
                <w:b w:val="0"/>
                <w:i w:val="0"/>
                <w:color w:val="404040"/>
                <w:sz w:val="18"/>
              </w:rPr>
              <w:t>Detected tables are written to Excel workbooks (openpyxl) for independent reviewer inspection.</w:t>
            </w:r>
          </w:p>
        </w:tc>
      </w:tr>
      <w:tr>
        <w:tc>
          <w:tcPr>
            <w:tcW w:type="dxa" w:w="4873"/>
            <w:shd w:val="clear" w:color="auto" w:fill="DEEAF1"/>
          </w:tcPr>
          <w:p>
            <w:pPr>
              <w:spacing w:before="40" w:after="40"/>
            </w:pPr>
            <w:r>
              <w:rPr>
                <w:b/>
                <w:i w:val="0"/>
                <w:color w:val="1F497D"/>
                <w:sz w:val="18"/>
              </w:rPr>
              <w:t>Stage 4  LLM Extraction</w:t>
            </w:r>
          </w:p>
        </w:tc>
        <w:tc>
          <w:tcPr>
            <w:tcW w:type="dxa" w:w="4873"/>
          </w:tcPr>
          <w:p>
            <w:pPr>
              <w:spacing w:before="40" w:after="40"/>
            </w:pPr>
            <w:r>
              <w:rPr>
                <w:b w:val="0"/>
                <w:i w:val="0"/>
                <w:color w:val="404040"/>
                <w:sz w:val="18"/>
              </w:rPr>
              <w:t>ai_query (Claude Sonnet 4) extracts 19 structured fields plus per-field evidence snippets in a single JSON response.</w:t>
            </w:r>
          </w:p>
        </w:tc>
      </w:tr>
      <w:tr>
        <w:tc>
          <w:tcPr>
            <w:tcW w:type="dxa" w:w="4873"/>
            <w:shd w:val="clear" w:color="auto" w:fill="DEEAF1"/>
          </w:tcPr>
          <w:p>
            <w:pPr>
              <w:spacing w:before="40" w:after="40"/>
            </w:pPr>
            <w:r>
              <w:rPr>
                <w:b/>
                <w:i w:val="0"/>
                <w:color w:val="1F497D"/>
                <w:sz w:val="18"/>
              </w:rPr>
              <w:t>Stage 5  Schema Validation</w:t>
            </w:r>
          </w:p>
        </w:tc>
        <w:tc>
          <w:tcPr>
            <w:tcW w:type="dxa" w:w="4873"/>
          </w:tcPr>
          <w:p>
            <w:pPr>
              <w:spacing w:before="40" w:after="40"/>
            </w:pPr>
            <w:r>
              <w:rPr>
                <w:b w:val="0"/>
                <w:i w:val="0"/>
                <w:color w:val="404040"/>
                <w:sz w:val="18"/>
              </w:rPr>
              <w:t>Pydantic validates and normalises every field; failures are flagged as Parsing Error rather than silently accepted.</w:t>
            </w:r>
          </w:p>
        </w:tc>
      </w:tr>
      <w:tr>
        <w:tc>
          <w:tcPr>
            <w:tcW w:type="dxa" w:w="4873"/>
            <w:shd w:val="clear" w:color="auto" w:fill="DEEAF1"/>
          </w:tcPr>
          <w:p>
            <w:pPr>
              <w:spacing w:before="40" w:after="40"/>
            </w:pPr>
            <w:r>
              <w:rPr>
                <w:b/>
                <w:i w:val="0"/>
                <w:color w:val="1F497D"/>
                <w:sz w:val="18"/>
              </w:rPr>
              <w:t>Stage 6  Booking Ingestion</w:t>
            </w:r>
          </w:p>
        </w:tc>
        <w:tc>
          <w:tcPr>
            <w:tcW w:type="dxa" w:w="4873"/>
          </w:tcPr>
          <w:p>
            <w:pPr>
              <w:spacing w:before="40" w:after="40"/>
            </w:pPr>
            <w:r>
              <w:rPr>
                <w:b w:val="0"/>
                <w:i w:val="0"/>
                <w:color w:val="404040"/>
                <w:sz w:val="18"/>
              </w:rPr>
              <w:t>CSV and JSON extracts are read with Spark, mapped to the canonical schema, and normalised by the same functions.</w:t>
            </w:r>
          </w:p>
        </w:tc>
      </w:tr>
      <w:tr>
        <w:tc>
          <w:tcPr>
            <w:tcW w:type="dxa" w:w="4873"/>
            <w:shd w:val="clear" w:color="auto" w:fill="DEEAF1"/>
          </w:tcPr>
          <w:p>
            <w:pPr>
              <w:spacing w:before="40" w:after="40"/>
            </w:pPr>
            <w:r>
              <w:rPr>
                <w:b/>
                <w:i w:val="0"/>
                <w:color w:val="1F497D"/>
                <w:sz w:val="18"/>
              </w:rPr>
              <w:t>Stage 7  Reconciliation</w:t>
            </w:r>
          </w:p>
        </w:tc>
        <w:tc>
          <w:tcPr>
            <w:tcW w:type="dxa" w:w="4873"/>
          </w:tcPr>
          <w:p>
            <w:pPr>
              <w:spacing w:before="40" w:after="40"/>
            </w:pPr>
            <w:r>
              <w:rPr>
                <w:b w:val="0"/>
                <w:i w:val="0"/>
                <w:color w:val="404040"/>
                <w:sz w:val="18"/>
              </w:rPr>
              <w:t>Each of the 19 target fields is compared per trade; field_equal handles numeric scale, date format, and whitespace variants.</w:t>
            </w:r>
          </w:p>
        </w:tc>
      </w:tr>
      <w:tr>
        <w:tc>
          <w:tcPr>
            <w:tcW w:type="dxa" w:w="4873"/>
            <w:shd w:val="clear" w:color="auto" w:fill="DEEAF1"/>
          </w:tcPr>
          <w:p>
            <w:pPr>
              <w:spacing w:before="40" w:after="40"/>
            </w:pPr>
            <w:r>
              <w:rPr>
                <w:b/>
                <w:i w:val="0"/>
                <w:color w:val="1F497D"/>
                <w:sz w:val="18"/>
              </w:rPr>
              <w:t>Stage 8  Mismatch Adjudication</w:t>
            </w:r>
          </w:p>
        </w:tc>
        <w:tc>
          <w:tcPr>
            <w:tcW w:type="dxa" w:w="4873"/>
          </w:tcPr>
          <w:p>
            <w:pPr>
              <w:spacing w:before="40" w:after="40"/>
            </w:pPr>
            <w:r>
              <w:rPr>
                <w:b w:val="0"/>
                <w:i w:val="0"/>
                <w:color w:val="404040"/>
                <w:sz w:val="18"/>
              </w:rPr>
              <w:t>Every Mismatch row is sent to ai_query (Claude Haiku 4.5) which classifies it as False Alert or True Mismatch with a reason.</w:t>
            </w:r>
          </w:p>
        </w:tc>
      </w:tr>
      <w:tr>
        <w:tc>
          <w:tcPr>
            <w:tcW w:type="dxa" w:w="4873"/>
            <w:shd w:val="clear" w:color="auto" w:fill="DEEAF1"/>
          </w:tcPr>
          <w:p>
            <w:pPr>
              <w:spacing w:before="40" w:after="40"/>
            </w:pPr>
            <w:r>
              <w:rPr>
                <w:b/>
                <w:i w:val="0"/>
                <w:color w:val="1F497D"/>
                <w:sz w:val="18"/>
              </w:rPr>
              <w:t>Stage 9  Output Persistence</w:t>
            </w:r>
          </w:p>
        </w:tc>
        <w:tc>
          <w:tcPr>
            <w:tcW w:type="dxa" w:w="4873"/>
          </w:tcPr>
          <w:p>
            <w:pPr>
              <w:spacing w:before="40" w:after="40"/>
            </w:pPr>
            <w:r>
              <w:rPr>
                <w:b w:val="0"/>
                <w:i w:val="0"/>
                <w:color w:val="404040"/>
                <w:sz w:val="18"/>
              </w:rPr>
              <w:t>Three CSVs saved: validated_extractions, reconciliation_results, and reconciliation_summary.</w:t>
            </w:r>
          </w:p>
        </w:tc>
      </w:tr>
    </w:tbl>
    <w:p>
      <w:pPr>
        <w:spacing w:after="60"/>
      </w:pPr>
    </w:p>
    <w:p>
      <w:pPr>
        <w:spacing w:before="160" w:after="40"/>
        <w:pBdr>
          <w:bottom w:val="single" w:sz="6" w:space="1" w:color="1F497D"/>
        </w:pBdr>
      </w:pPr>
      <w:r>
        <w:rPr>
          <w:b/>
          <w:i w:val="0"/>
          <w:color w:val="1F497D"/>
          <w:sz w:val="22"/>
        </w:rPr>
        <w:t>2. LLM / API INTEGRATION</w:t>
      </w:r>
    </w:p>
    <w:p>
      <w:pPr>
        <w:spacing w:before="20" w:after="40"/>
      </w:pPr>
      <w:r>
        <w:rPr>
          <w:b w:val="0"/>
          <w:i w:val="0"/>
          <w:color w:val="404040"/>
          <w:sz w:val="19"/>
        </w:rPr>
        <w:t>All LLM calls use Databricks SQL AI functions — no external API keys are required. Both functions are fully automated and embedded in the Spark execution plan.</w:t>
      </w:r>
    </w:p>
    <w:p>
      <w:pPr>
        <w:pStyle w:val="ListBullet"/>
        <w:spacing w:before="0" w:after="20"/>
        <w:ind w:left="227"/>
      </w:pPr>
      <w:r>
        <w:rPr>
          <w:b/>
          <w:i w:val="0"/>
          <w:color w:val="2E75B6"/>
          <w:sz w:val="19"/>
        </w:rPr>
        <w:t xml:space="preserve">ai_parse_document: </w:t>
      </w:r>
      <w:r>
        <w:rPr>
          <w:b w:val="0"/>
          <w:i w:val="0"/>
          <w:color w:val="404040"/>
          <w:sz w:val="19"/>
        </w:rPr>
        <w:t>Parses PDF binary into structured document elements (text, tables, layout).</w:t>
      </w:r>
    </w:p>
    <w:p>
      <w:pPr>
        <w:pStyle w:val="ListBullet"/>
        <w:spacing w:before="0" w:after="20"/>
        <w:ind w:left="227"/>
      </w:pPr>
      <w:r>
        <w:rPr>
          <w:b/>
          <w:i w:val="0"/>
          <w:color w:val="2E75B6"/>
          <w:sz w:val="19"/>
        </w:rPr>
        <w:t xml:space="preserve">ai_query: </w:t>
      </w:r>
      <w:r>
        <w:rPr>
          <w:b w:val="0"/>
          <w:i w:val="0"/>
          <w:color w:val="404040"/>
          <w:sz w:val="19"/>
        </w:rPr>
        <w:t>(1) First-pass structured extraction from document text; (2) mismatch adjudication.</w:t>
      </w:r>
    </w:p>
    <w:p>
      <w:pPr>
        <w:pStyle w:val="ListBullet"/>
        <w:spacing w:before="0" w:after="20"/>
        <w:ind w:left="227"/>
      </w:pPr>
      <w:r>
        <w:rPr>
          <w:b/>
          <w:i w:val="0"/>
          <w:color w:val="2E75B6"/>
          <w:sz w:val="19"/>
        </w:rPr>
        <w:t xml:space="preserve">Claude Sonnet 4: </w:t>
      </w:r>
      <w:r>
        <w:rPr>
          <w:b w:val="0"/>
          <w:i w:val="0"/>
          <w:color w:val="404040"/>
          <w:sz w:val="19"/>
        </w:rPr>
        <w:t>Higher reasoning for broad extraction of semi-structured bond wording.</w:t>
      </w:r>
    </w:p>
    <w:p>
      <w:pPr>
        <w:pStyle w:val="ListBullet"/>
        <w:spacing w:before="0" w:after="20"/>
        <w:ind w:left="227"/>
      </w:pPr>
      <w:r>
        <w:rPr>
          <w:b/>
          <w:i w:val="0"/>
          <w:color w:val="2E75B6"/>
          <w:sz w:val="19"/>
        </w:rPr>
        <w:t xml:space="preserve">Claude Haiku 4.5: </w:t>
      </w:r>
      <w:r>
        <w:rPr>
          <w:b w:val="0"/>
          <w:i w:val="0"/>
          <w:color w:val="404040"/>
          <w:sz w:val="19"/>
        </w:rPr>
        <w:t>Lower-cost model for binary False Alert / True Mismatch classification.</w:t>
      </w:r>
    </w:p>
    <w:p>
      <w:pPr>
        <w:spacing w:before="20" w:after="80"/>
      </w:pPr>
      <w:r>
        <w:rPr>
          <w:b w:val="0"/>
          <w:i w:val="0"/>
          <w:color w:val="404040"/>
          <w:sz w:val="19"/>
        </w:rPr>
        <w:t>Prompts require JSON-only output. The extraction prompt lists all 19 fields and requires an evidence object mapping each field to an exact verbatim source quote. The adjudication prompt supplies booking value, extracted value, and evidence, and returns a classification plus a plain-language reason.</w:t>
      </w:r>
    </w:p>
    <w:p>
      <w:pPr>
        <w:spacing w:before="160" w:after="40"/>
        <w:pBdr>
          <w:bottom w:val="single" w:sz="6" w:space="1" w:color="1F497D"/>
        </w:pBdr>
      </w:pPr>
      <w:r>
        <w:rPr>
          <w:b/>
          <w:i w:val="0"/>
          <w:color w:val="1F497D"/>
          <w:sz w:val="22"/>
        </w:rPr>
        <w:t>3. FIELD EXTRACTION DESIGN</w:t>
      </w:r>
    </w:p>
    <w:p>
      <w:pPr>
        <w:spacing w:before="20" w:after="40"/>
      </w:pPr>
      <w:r>
        <w:rPr>
          <w:b w:val="0"/>
          <w:i w:val="0"/>
          <w:color w:val="404040"/>
          <w:sz w:val="19"/>
        </w:rPr>
        <w:t>19 target fields: ISIN, Issuer, Coupon, Currency, Maturity, IssueDate, SettlementDate, IssueAmount, IssuePrice, NominalAmountPerBond, InterestPaymentDate, InterestPaymentFrequency, DayCountFraction, BusinessDayConvention, BusinessDayLocation, AmortizationType, MinimumSubscription, Parent, Notional.</w:t>
      </w:r>
    </w:p>
    <w:p>
      <w:pPr>
        <w:spacing w:before="60" w:after="40"/>
      </w:pPr>
      <w:r>
        <w:rPr>
          <w:b/>
          <w:i w:val="0"/>
          <w:color w:val="2E75B6"/>
          <w:sz w:val="19"/>
        </w:rPr>
        <w:t>Key Normalisation Rules</w:t>
      </w:r>
    </w:p>
    <w:tbl>
      <w:tblPr>
        <w:tblStyle w:val="TableGrid"/>
        <w:tblW w:type="auto" w:w="0"/>
        <w:tblLayout w:type="fixed"/>
        <w:tblLook w:firstColumn="1" w:firstRow="1" w:lastColumn="0" w:lastRow="0" w:noHBand="0" w:noVBand="1" w:val="04A0"/>
      </w:tblPr>
      <w:tblGrid>
        <w:gridCol w:w="2721"/>
        <w:gridCol w:w="6803"/>
      </w:tblGrid>
      <w:tr>
        <w:tc>
          <w:tcPr>
            <w:tcW w:type="dxa" w:w="4873"/>
            <w:shd w:val="clear" w:color="auto" w:fill="DEEAF1"/>
          </w:tcPr>
          <w:p>
            <w:pPr>
              <w:spacing w:before="40" w:after="40"/>
            </w:pPr>
            <w:r>
              <w:rPr>
                <w:b/>
                <w:i w:val="0"/>
                <w:color w:val="1F497D"/>
                <w:sz w:val="18"/>
              </w:rPr>
              <w:t>ISIN</w:t>
            </w:r>
          </w:p>
        </w:tc>
        <w:tc>
          <w:tcPr>
            <w:tcW w:type="dxa" w:w="4873"/>
          </w:tcPr>
          <w:p>
            <w:pPr>
              <w:spacing w:before="40" w:after="40"/>
            </w:pPr>
            <w:r>
              <w:rPr>
                <w:b w:val="0"/>
                <w:i w:val="0"/>
                <w:color w:val="404040"/>
                <w:sz w:val="18"/>
              </w:rPr>
              <w:t>Whitespace stripped; no internal spaces.</w:t>
            </w:r>
          </w:p>
        </w:tc>
      </w:tr>
      <w:tr>
        <w:tc>
          <w:tcPr>
            <w:tcW w:type="dxa" w:w="4873"/>
            <w:shd w:val="clear" w:color="auto" w:fill="DEEAF1"/>
          </w:tcPr>
          <w:p>
            <w:pPr>
              <w:spacing w:before="40" w:after="40"/>
            </w:pPr>
            <w:r>
              <w:rPr>
                <w:b/>
                <w:i w:val="0"/>
                <w:color w:val="1F497D"/>
                <w:sz w:val="18"/>
              </w:rPr>
              <w:t>Dates</w:t>
            </w:r>
          </w:p>
        </w:tc>
        <w:tc>
          <w:tcPr>
            <w:tcW w:type="dxa" w:w="4873"/>
          </w:tcPr>
          <w:p>
            <w:pPr>
              <w:spacing w:before="40" w:after="40"/>
            </w:pPr>
            <w:r>
              <w:rPr>
                <w:b w:val="0"/>
                <w:i w:val="0"/>
                <w:color w:val="404040"/>
                <w:sz w:val="18"/>
              </w:rPr>
              <w:t>Parsed to ISO 8601 via strptime with six format variants; descriptive prefixes removed.</w:t>
            </w:r>
          </w:p>
        </w:tc>
      </w:tr>
      <w:tr>
        <w:tc>
          <w:tcPr>
            <w:tcW w:type="dxa" w:w="4873"/>
            <w:shd w:val="clear" w:color="auto" w:fill="DEEAF1"/>
          </w:tcPr>
          <w:p>
            <w:pPr>
              <w:spacing w:before="40" w:after="40"/>
            </w:pPr>
            <w:r>
              <w:rPr>
                <w:b/>
                <w:i w:val="0"/>
                <w:color w:val="1F497D"/>
                <w:sz w:val="18"/>
              </w:rPr>
              <w:t>Numeric amounts</w:t>
            </w:r>
          </w:p>
        </w:tc>
        <w:tc>
          <w:tcPr>
            <w:tcW w:type="dxa" w:w="4873"/>
          </w:tcPr>
          <w:p>
            <w:pPr>
              <w:spacing w:before="40" w:after="40"/>
            </w:pPr>
            <w:r>
              <w:rPr>
                <w:b w:val="0"/>
                <w:i w:val="0"/>
                <w:color w:val="404040"/>
                <w:sz w:val="18"/>
              </w:rPr>
              <w:t>Handles decimals, comma-thousands, INR crore (×10 M), million (×1 M), billion (×1 B). Invalid syntax caught and returned as None.</w:t>
            </w:r>
          </w:p>
        </w:tc>
      </w:tr>
      <w:tr>
        <w:tc>
          <w:tcPr>
            <w:tcW w:type="dxa" w:w="4873"/>
            <w:shd w:val="clear" w:color="auto" w:fill="DEEAF1"/>
          </w:tcPr>
          <w:p>
            <w:pPr>
              <w:spacing w:before="40" w:after="40"/>
            </w:pPr>
            <w:r>
              <w:rPr>
                <w:b/>
                <w:i w:val="0"/>
                <w:color w:val="1F497D"/>
                <w:sz w:val="18"/>
              </w:rPr>
              <w:t>BusinessDayLocation</w:t>
            </w:r>
          </w:p>
        </w:tc>
        <w:tc>
          <w:tcPr>
            <w:tcW w:type="dxa" w:w="4873"/>
          </w:tcPr>
          <w:p>
            <w:pPr>
              <w:spacing w:before="40" w:after="40"/>
            </w:pPr>
            <w:r>
              <w:rPr>
                <w:b w:val="0"/>
                <w:i w:val="0"/>
                <w:color w:val="404040"/>
                <w:sz w:val="18"/>
              </w:rPr>
              <w:t>Split on pipe / comma / 'and' into a normalised list.</w:t>
            </w:r>
          </w:p>
        </w:tc>
      </w:tr>
      <w:tr>
        <w:tc>
          <w:tcPr>
            <w:tcW w:type="dxa" w:w="4873"/>
            <w:shd w:val="clear" w:color="auto" w:fill="DEEAF1"/>
          </w:tcPr>
          <w:p>
            <w:pPr>
              <w:spacing w:before="40" w:after="40"/>
            </w:pPr>
            <w:r>
              <w:rPr>
                <w:b/>
                <w:i w:val="0"/>
                <w:color w:val="1F497D"/>
                <w:sz w:val="18"/>
              </w:rPr>
              <w:t>Text fields</w:t>
            </w:r>
          </w:p>
        </w:tc>
        <w:tc>
          <w:tcPr>
            <w:tcW w:type="dxa" w:w="4873"/>
          </w:tcPr>
          <w:p>
            <w:pPr>
              <w:spacing w:before="40" w:after="40"/>
            </w:pPr>
            <w:r>
              <w:rPr>
                <w:b w:val="0"/>
                <w:i w:val="0"/>
                <w:color w:val="404040"/>
                <w:sz w:val="18"/>
              </w:rPr>
              <w:t>Whitespace collapsed; newlines replaced with spaces.</w:t>
            </w:r>
          </w:p>
        </w:tc>
      </w:tr>
      <w:tr>
        <w:tc>
          <w:tcPr>
            <w:tcW w:type="dxa" w:w="4873"/>
            <w:shd w:val="clear" w:color="auto" w:fill="DEEAF1"/>
          </w:tcPr>
          <w:p>
            <w:pPr>
              <w:spacing w:before="40" w:after="40"/>
            </w:pPr>
            <w:r>
              <w:rPr>
                <w:b/>
                <w:i w:val="0"/>
                <w:color w:val="1F497D"/>
                <w:sz w:val="18"/>
              </w:rPr>
              <w:t>Doc-level defaults</w:t>
            </w:r>
          </w:p>
        </w:tc>
        <w:tc>
          <w:tcPr>
            <w:tcW w:type="dxa" w:w="4873"/>
          </w:tcPr>
          <w:p>
            <w:pPr>
              <w:spacing w:before="40" w:after="40"/>
            </w:pPr>
            <w:r>
              <w:rPr>
                <w:b w:val="0"/>
                <w:i w:val="0"/>
                <w:color w:val="404040"/>
                <w:sz w:val="18"/>
              </w:rPr>
              <w:t>Genel: settlement_date ← issue_date when absent. IDBI: currency ← INR; amortization_type ← Perpetual.</w:t>
            </w:r>
          </w:p>
        </w:tc>
      </w:tr>
    </w:tbl>
    <w:p>
      <w:pPr>
        <w:spacing w:after="60"/>
      </w:pPr>
    </w:p>
    <w:p>
      <w:pPr>
        <w:spacing w:before="160" w:after="40"/>
        <w:pBdr>
          <w:bottom w:val="single" w:sz="6" w:space="1" w:color="1F497D"/>
        </w:pBdr>
      </w:pPr>
      <w:r>
        <w:rPr>
          <w:b/>
          <w:i w:val="0"/>
          <w:color w:val="1F497D"/>
          <w:sz w:val="22"/>
        </w:rPr>
        <w:t>4. CHALLENGES &amp; ASSUMPTIONS</w:t>
      </w:r>
    </w:p>
    <w:p>
      <w:pPr>
        <w:spacing w:before="60" w:after="40"/>
      </w:pPr>
      <w:r>
        <w:rPr>
          <w:b/>
          <w:i w:val="0"/>
          <w:color w:val="2E75B6"/>
          <w:sz w:val="19"/>
        </w:rPr>
        <w:t>Challenges</w:t>
      </w:r>
    </w:p>
    <w:p>
      <w:pPr>
        <w:pStyle w:val="ListBullet"/>
        <w:spacing w:before="0" w:after="20"/>
        <w:ind w:left="227"/>
      </w:pPr>
      <w:r>
        <w:rPr>
          <w:b w:val="0"/>
          <w:i w:val="0"/>
          <w:color w:val="404040"/>
          <w:sz w:val="19"/>
        </w:rPr>
        <w:t>Semi-structured wording varies between issuers — IDBI uses perpetual bond conventions; Genel uses Eurobond conventions.</w:t>
      </w:r>
    </w:p>
    <w:p>
      <w:pPr>
        <w:pStyle w:val="ListBullet"/>
        <w:spacing w:before="0" w:after="20"/>
        <w:ind w:left="227"/>
      </w:pPr>
      <w:r>
        <w:rPr>
          <w:b w:val="0"/>
          <w:i w:val="0"/>
          <w:color w:val="404040"/>
          <w:sz w:val="19"/>
        </w:rPr>
        <w:t>Some fields are implied rather than explicitly labelled (e.g. settlement logic tied to issue date narrative wording).</w:t>
      </w:r>
    </w:p>
    <w:p>
      <w:pPr>
        <w:pStyle w:val="ListBullet"/>
        <w:spacing w:before="0" w:after="20"/>
        <w:ind w:left="227"/>
      </w:pPr>
      <w:r>
        <w:rPr>
          <w:b w:val="0"/>
          <w:i w:val="0"/>
          <w:color w:val="404040"/>
          <w:sz w:val="19"/>
        </w:rPr>
        <w:t>Indian crore notation required bespoke numeric parsing not covered by standard libraries.</w:t>
      </w:r>
    </w:p>
    <w:p>
      <w:pPr>
        <w:pStyle w:val="ListBullet"/>
        <w:spacing w:before="0" w:after="20"/>
        <w:ind w:left="227"/>
      </w:pPr>
      <w:r>
        <w:rPr>
          <w:b w:val="0"/>
          <w:i w:val="0"/>
          <w:color w:val="404040"/>
          <w:sz w:val="19"/>
        </w:rPr>
        <w:t>Mixed pandas object columns caused ArrowTypeError when converting to Spark DataFrames; explicit str casting and Int64 coercion resolved this.</w:t>
      </w:r>
    </w:p>
    <w:p>
      <w:pPr>
        <w:pStyle w:val="ListBullet"/>
        <w:spacing w:before="0" w:after="20"/>
        <w:ind w:left="227"/>
      </w:pPr>
      <w:r>
        <w:rPr>
          <w:b w:val="0"/>
          <w:i w:val="0"/>
          <w:color w:val="404040"/>
          <w:sz w:val="19"/>
        </w:rPr>
        <w:t>Representation mismatches (date format, percentage vs decimal coupon) required the LLM adjudication pass rather than strict equality.</w:t>
      </w:r>
    </w:p>
    <w:p>
      <w:pPr>
        <w:spacing w:before="60" w:after="40"/>
      </w:pPr>
      <w:r>
        <w:rPr>
          <w:b/>
          <w:i w:val="0"/>
          <w:color w:val="2E75B6"/>
          <w:sz w:val="19"/>
        </w:rPr>
        <w:t>Assumptions</w:t>
      </w:r>
    </w:p>
    <w:p>
      <w:pPr>
        <w:pStyle w:val="ListBullet"/>
        <w:spacing w:before="0" w:after="20"/>
        <w:ind w:left="227"/>
      </w:pPr>
      <w:r>
        <w:rPr>
          <w:b w:val="0"/>
          <w:i w:val="0"/>
          <w:color w:val="404040"/>
          <w:sz w:val="19"/>
        </w:rPr>
        <w:t>Genel settlement_date defaults to issue_date per document wording when absent in LLM output.</w:t>
      </w:r>
    </w:p>
    <w:p>
      <w:pPr>
        <w:pStyle w:val="ListBullet"/>
        <w:spacing w:before="0" w:after="20"/>
        <w:ind w:left="227"/>
      </w:pPr>
      <w:r>
        <w:rPr>
          <w:b w:val="0"/>
          <w:i w:val="0"/>
          <w:color w:val="404040"/>
          <w:sz w:val="19"/>
        </w:rPr>
        <w:t>IDBI currency defaults to INR when the LLM does not return it explicitly.</w:t>
      </w:r>
    </w:p>
    <w:p>
      <w:pPr>
        <w:pStyle w:val="ListBullet"/>
        <w:spacing w:before="0" w:after="20"/>
        <w:ind w:left="227"/>
      </w:pPr>
      <w:r>
        <w:rPr>
          <w:b w:val="0"/>
          <w:i w:val="0"/>
          <w:color w:val="404040"/>
          <w:sz w:val="19"/>
        </w:rPr>
        <w:t>IDBI amortization_type defaults to Perpetual for perpetual bond structures.</w:t>
      </w:r>
    </w:p>
    <w:p>
      <w:pPr>
        <w:pStyle w:val="ListBullet"/>
        <w:spacing w:before="0" w:after="20"/>
        <w:ind w:left="227"/>
      </w:pPr>
      <w:r>
        <w:rPr>
          <w:b w:val="0"/>
          <w:i w:val="0"/>
          <w:color w:val="404040"/>
          <w:sz w:val="19"/>
        </w:rPr>
        <w:t>Evidence is stored exactly as returned by the LLM, even if the normalised value differs from the raw quote.</w:t>
      </w:r>
    </w:p>
    <w:p>
      <w:pPr>
        <w:pStyle w:val="ListBullet"/>
        <w:spacing w:before="0" w:after="20"/>
        <w:ind w:left="227"/>
      </w:pPr>
      <w:r>
        <w:rPr>
          <w:b w:val="0"/>
          <w:i w:val="0"/>
          <w:color w:val="404040"/>
          <w:sz w:val="19"/>
        </w:rPr>
        <w:t>All mismatch adjudication is fully automated; no human review is required in the pipeline.</w:t>
      </w:r>
    </w:p>
    <w:p>
      <w:pPr>
        <w:pStyle w:val="ListBullet"/>
        <w:spacing w:before="0" w:after="20"/>
        <w:ind w:left="227"/>
      </w:pPr>
      <w:r>
        <w:rPr>
          <w:b w:val="0"/>
          <w:i w:val="0"/>
          <w:color w:val="404040"/>
          <w:sz w:val="19"/>
        </w:rPr>
        <w:t>Booking extracts intentionally contain some altered values to simulate real-world reconciliation scenarios.</w:t>
      </w:r>
    </w:p>
    <w:p>
      <w:pPr>
        <w:spacing w:before="160" w:after="40"/>
        <w:pBdr>
          <w:bottom w:val="single" w:sz="6" w:space="1" w:color="1F497D"/>
        </w:pBdr>
      </w:pPr>
      <w:r>
        <w:rPr>
          <w:b/>
          <w:i w:val="0"/>
          <w:color w:val="1F497D"/>
          <w:sz w:val="22"/>
        </w:rPr>
        <w:t>5. PRODUCTION AUTOMATION &amp; DEVOPS SUGGESTIONS</w:t>
      </w:r>
    </w:p>
    <w:tbl>
      <w:tblPr>
        <w:tblStyle w:val="TableGrid"/>
        <w:tblW w:type="auto" w:w="0"/>
        <w:tblLayout w:type="fixed"/>
        <w:tblLook w:firstColumn="1" w:firstRow="1" w:lastColumn="0" w:lastRow="0" w:noHBand="0" w:noVBand="1" w:val="04A0"/>
      </w:tblPr>
      <w:tblGrid>
        <w:gridCol w:w="2721"/>
        <w:gridCol w:w="6803"/>
      </w:tblGrid>
      <w:tr>
        <w:tc>
          <w:tcPr>
            <w:tcW w:type="dxa" w:w="4873"/>
            <w:shd w:val="clear" w:color="auto" w:fill="DEEAF1"/>
          </w:tcPr>
          <w:p>
            <w:pPr>
              <w:spacing w:before="40" w:after="40"/>
            </w:pPr>
            <w:r>
              <w:rPr>
                <w:b/>
                <w:i w:val="0"/>
                <w:color w:val="1F497D"/>
                <w:sz w:val="18"/>
              </w:rPr>
              <w:t>Modular packaging</w:t>
            </w:r>
          </w:p>
        </w:tc>
        <w:tc>
          <w:tcPr>
            <w:tcW w:type="dxa" w:w="4873"/>
          </w:tcPr>
          <w:p>
            <w:pPr>
              <w:spacing w:before="40" w:after="40"/>
            </w:pPr>
            <w:r>
              <w:rPr>
                <w:b w:val="0"/>
                <w:i w:val="0"/>
                <w:color w:val="404040"/>
                <w:sz w:val="18"/>
              </w:rPr>
              <w:t>Refactor notebook logic into Python modules (parser, extractor, normaliser, reconciler) with a pytest suite per module.</w:t>
            </w:r>
          </w:p>
        </w:tc>
      </w:tr>
      <w:tr>
        <w:tc>
          <w:tcPr>
            <w:tcW w:type="dxa" w:w="4873"/>
            <w:shd w:val="clear" w:color="auto" w:fill="DEEAF1"/>
          </w:tcPr>
          <w:p>
            <w:pPr>
              <w:spacing w:before="40" w:after="40"/>
            </w:pPr>
            <w:r>
              <w:rPr>
                <w:b/>
                <w:i w:val="0"/>
                <w:color w:val="1F497D"/>
                <w:sz w:val="18"/>
              </w:rPr>
              <w:t>Parameterised config</w:t>
            </w:r>
          </w:p>
        </w:tc>
        <w:tc>
          <w:tcPr>
            <w:tcW w:type="dxa" w:w="4873"/>
          </w:tcPr>
          <w:p>
            <w:pPr>
              <w:spacing w:before="40" w:after="40"/>
            </w:pPr>
            <w:r>
              <w:rPr>
                <w:b w:val="0"/>
                <w:i w:val="0"/>
                <w:color w:val="404040"/>
                <w:sz w:val="18"/>
              </w:rPr>
              <w:t>Replace hardcoded paths and model names with a YAML config file; inject values via job parameters or environment variables.</w:t>
            </w:r>
          </w:p>
        </w:tc>
      </w:tr>
      <w:tr>
        <w:tc>
          <w:tcPr>
            <w:tcW w:type="dxa" w:w="4873"/>
            <w:shd w:val="clear" w:color="auto" w:fill="DEEAF1"/>
          </w:tcPr>
          <w:p>
            <w:pPr>
              <w:spacing w:before="40" w:after="40"/>
            </w:pPr>
            <w:r>
              <w:rPr>
                <w:b/>
                <w:i w:val="0"/>
                <w:color w:val="1F497D"/>
                <w:sz w:val="18"/>
              </w:rPr>
              <w:t>Secret management</w:t>
            </w:r>
          </w:p>
        </w:tc>
        <w:tc>
          <w:tcPr>
            <w:tcW w:type="dxa" w:w="4873"/>
          </w:tcPr>
          <w:p>
            <w:pPr>
              <w:spacing w:before="40" w:after="40"/>
            </w:pPr>
            <w:r>
              <w:rPr>
                <w:b w:val="0"/>
                <w:i w:val="0"/>
                <w:color w:val="404040"/>
                <w:sz w:val="18"/>
              </w:rPr>
              <w:t>Store API keys in Databricks Secrets or Azure Key Vault — never inline credentials.</w:t>
            </w:r>
          </w:p>
        </w:tc>
      </w:tr>
      <w:tr>
        <w:tc>
          <w:tcPr>
            <w:tcW w:type="dxa" w:w="4873"/>
            <w:shd w:val="clear" w:color="auto" w:fill="DEEAF1"/>
          </w:tcPr>
          <w:p>
            <w:pPr>
              <w:spacing w:before="40" w:after="40"/>
            </w:pPr>
            <w:r>
              <w:rPr>
                <w:b/>
                <w:i w:val="0"/>
                <w:color w:val="1F497D"/>
                <w:sz w:val="18"/>
              </w:rPr>
              <w:t>CI/CD pipeline</w:t>
            </w:r>
          </w:p>
        </w:tc>
        <w:tc>
          <w:tcPr>
            <w:tcW w:type="dxa" w:w="4873"/>
          </w:tcPr>
          <w:p>
            <w:pPr>
              <w:spacing w:before="40" w:after="40"/>
            </w:pPr>
            <w:r>
              <w:rPr>
                <w:b w:val="0"/>
                <w:i w:val="0"/>
                <w:color w:val="404040"/>
                <w:sz w:val="18"/>
              </w:rPr>
              <w:t>GitHub Actions: lint → unit tests → smoke test on mock data → coverage report on every pull request.</w:t>
            </w:r>
          </w:p>
        </w:tc>
      </w:tr>
      <w:tr>
        <w:tc>
          <w:tcPr>
            <w:tcW w:type="dxa" w:w="4873"/>
            <w:shd w:val="clear" w:color="auto" w:fill="DEEAF1"/>
          </w:tcPr>
          <w:p>
            <w:pPr>
              <w:spacing w:before="40" w:after="40"/>
            </w:pPr>
            <w:r>
              <w:rPr>
                <w:b/>
                <w:i w:val="0"/>
                <w:color w:val="1F497D"/>
                <w:sz w:val="18"/>
              </w:rPr>
              <w:t>Job orchestration</w:t>
            </w:r>
          </w:p>
        </w:tc>
        <w:tc>
          <w:tcPr>
            <w:tcW w:type="dxa" w:w="4873"/>
          </w:tcPr>
          <w:p>
            <w:pPr>
              <w:spacing w:before="40" w:after="40"/>
            </w:pPr>
            <w:r>
              <w:rPr>
                <w:b w:val="0"/>
                <w:i w:val="0"/>
                <w:color w:val="404040"/>
                <w:sz w:val="18"/>
              </w:rPr>
              <w:t>Schedule as a Lakeflow Job triggered by new file arrival in the input volume via cloud-storage events.</w:t>
            </w:r>
          </w:p>
        </w:tc>
      </w:tr>
      <w:tr>
        <w:tc>
          <w:tcPr>
            <w:tcW w:type="dxa" w:w="4873"/>
            <w:shd w:val="clear" w:color="auto" w:fill="DEEAF1"/>
          </w:tcPr>
          <w:p>
            <w:pPr>
              <w:spacing w:before="40" w:after="40"/>
            </w:pPr>
            <w:r>
              <w:rPr>
                <w:b/>
                <w:i w:val="0"/>
                <w:color w:val="1F497D"/>
                <w:sz w:val="18"/>
              </w:rPr>
              <w:t>Quality alerting</w:t>
            </w:r>
          </w:p>
        </w:tc>
        <w:tc>
          <w:tcPr>
            <w:tcW w:type="dxa" w:w="4873"/>
          </w:tcPr>
          <w:p>
            <w:pPr>
              <w:spacing w:before="40" w:after="40"/>
            </w:pPr>
            <w:r>
              <w:rPr>
                <w:b w:val="0"/>
                <w:i w:val="0"/>
                <w:color w:val="404040"/>
                <w:sz w:val="18"/>
              </w:rPr>
              <w:t>Emit parsing-error rate and true-mismatch rate as metrics; alert when either exceeds a threshold.</w:t>
            </w:r>
          </w:p>
        </w:tc>
      </w:tr>
      <w:tr>
        <w:tc>
          <w:tcPr>
            <w:tcW w:type="dxa" w:w="4873"/>
            <w:shd w:val="clear" w:color="auto" w:fill="DEEAF1"/>
          </w:tcPr>
          <w:p>
            <w:pPr>
              <w:spacing w:before="40" w:after="40"/>
            </w:pPr>
            <w:r>
              <w:rPr>
                <w:b/>
                <w:i w:val="0"/>
                <w:color w:val="1F497D"/>
                <w:sz w:val="18"/>
              </w:rPr>
              <w:t>Output versioning</w:t>
            </w:r>
          </w:p>
        </w:tc>
        <w:tc>
          <w:tcPr>
            <w:tcW w:type="dxa" w:w="4873"/>
          </w:tcPr>
          <w:p>
            <w:pPr>
              <w:spacing w:before="40" w:after="40"/>
            </w:pPr>
            <w:r>
              <w:rPr>
                <w:b w:val="0"/>
                <w:i w:val="0"/>
                <w:color w:val="404040"/>
                <w:sz w:val="18"/>
              </w:rPr>
              <w:t>Append run timestamp to output CSV names, or write to Delta tables for full lineage and audit trail.</w:t>
            </w:r>
          </w:p>
        </w:tc>
      </w:tr>
      <w:tr>
        <w:tc>
          <w:tcPr>
            <w:tcW w:type="dxa" w:w="4873"/>
            <w:shd w:val="clear" w:color="auto" w:fill="DEEAF1"/>
          </w:tcPr>
          <w:p>
            <w:pPr>
              <w:spacing w:before="40" w:after="40"/>
            </w:pPr>
            <w:r>
              <w:rPr>
                <w:b/>
                <w:i w:val="0"/>
                <w:color w:val="1F497D"/>
                <w:sz w:val="18"/>
              </w:rPr>
              <w:t>Scalability</w:t>
            </w:r>
          </w:p>
        </w:tc>
        <w:tc>
          <w:tcPr>
            <w:tcW w:type="dxa" w:w="4873"/>
          </w:tcPr>
          <w:p>
            <w:pPr>
              <w:spacing w:before="40" w:after="40"/>
            </w:pPr>
            <w:r>
              <w:rPr>
                <w:b w:val="0"/>
                <w:i w:val="0"/>
                <w:color w:val="404040"/>
                <w:sz w:val="18"/>
              </w:rPr>
              <w:t>Parallelise LLM calls across documents using pandas_udf for large document volumes.</w:t>
            </w:r>
          </w:p>
        </w:tc>
      </w:tr>
      <w:tr>
        <w:tc>
          <w:tcPr>
            <w:tcW w:type="dxa" w:w="4873"/>
            <w:shd w:val="clear" w:color="auto" w:fill="DEEAF1"/>
          </w:tcPr>
          <w:p>
            <w:pPr>
              <w:spacing w:before="40" w:after="40"/>
            </w:pPr>
            <w:r>
              <w:rPr>
                <w:b/>
                <w:i w:val="0"/>
                <w:color w:val="1F497D"/>
                <w:sz w:val="18"/>
              </w:rPr>
              <w:t>Dashboard</w:t>
            </w:r>
          </w:p>
        </w:tc>
        <w:tc>
          <w:tcPr>
            <w:tcW w:type="dxa" w:w="4873"/>
          </w:tcPr>
          <w:p>
            <w:pPr>
              <w:spacing w:before="40" w:after="40"/>
            </w:pPr>
            <w:r>
              <w:rPr>
                <w:b w:val="0"/>
                <w:i w:val="0"/>
                <w:color w:val="404040"/>
                <w:sz w:val="18"/>
              </w:rPr>
              <w:t>Expose the summary CSV to a Lakeview dashboard for self-service reconciliation review by the ops team.</w:t>
            </w:r>
          </w:p>
        </w:tc>
      </w:tr>
      <w:tr>
        <w:tc>
          <w:tcPr>
            <w:tcW w:type="dxa" w:w="4873"/>
            <w:shd w:val="clear" w:color="auto" w:fill="DEEAF1"/>
          </w:tcPr>
          <w:p>
            <w:pPr>
              <w:spacing w:before="40" w:after="40"/>
            </w:pPr>
            <w:r>
              <w:rPr>
                <w:b/>
                <w:i w:val="0"/>
                <w:color w:val="1F497D"/>
                <w:sz w:val="18"/>
              </w:rPr>
              <w:t>Declarative pipeline</w:t>
            </w:r>
          </w:p>
        </w:tc>
        <w:tc>
          <w:tcPr>
            <w:tcW w:type="dxa" w:w="4873"/>
          </w:tcPr>
          <w:p>
            <w:pPr>
              <w:spacing w:before="40" w:after="40"/>
            </w:pPr>
            <w:r>
              <w:rPr>
                <w:b w:val="0"/>
                <w:i w:val="0"/>
                <w:color w:val="404040"/>
                <w:sz w:val="18"/>
              </w:rPr>
              <w:t>Wrap stages as a Lakeflow Spark Declarative Pipeline (SDP) for streaming incremental updates on new documents.</w:t>
            </w:r>
          </w:p>
        </w:tc>
      </w:tr>
    </w:tbl>
    <w:p>
      <w:pPr>
        <w:spacing w:after="60"/>
      </w:pPr>
    </w:p>
    <w:p>
      <w:pPr>
        <w:spacing w:before="120"/>
        <w:jc w:val="center"/>
      </w:pPr>
      <w:r>
        <w:rPr>
          <w:b w:val="0"/>
          <w:i/>
          <w:color w:val="808080"/>
          <w:sz w:val="16"/>
        </w:rPr>
        <w:t>All LLM interactions are fully automated via Databricks SQL AI functions  |  No manual steps in extraction, validation, or adjudication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