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0"/>
              <w:left w:type="dxa" w:w="960"/>
              <w:bottom w:type="dxa" w:w="720"/>
              <w:right w:type="dxa" w:w="960"/>
            </w:tcMar>
            <w:vAlign w:val="top"/>
          </w:tcPr>
          <w:p>
            <w:pPr>
              <w:spacing w:before="200"/>
            </w:pPr>
          </w:p>
          <w:p>
            <w:r>
              <w:t xml:space="preserve">Header Lorem ipsum dolor sit amet . The graphic and typographic operators know this well, in reality all the professions dealing with the universe of communication have a stable relationship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tionship with these words, but what is it? Lorem ipsum is a dummy text without any sense `that is used in the printing and typesetting industry to fill spaces that will subsequently be occupied by real texts.  It is used to test the layout of a page, to have a preview of the final result and to evaluate the visual impact of a document without being distracted by the content. Your sections, text, tables, etc. go here and won't touch the border.  Looks much better in Google Docs / Word / LibreOffice. 123123</w:t>
            </w:r>
          </w:p>
          <w:p>
            <w:pPr>
              <w:spacing w:after="500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2026-03-20T10:04:50.790Z</dcterms:created>
  <dcterms:modified xsi:type="dcterms:W3CDTF">2026-03-20T10:04:50.791Z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