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3C3F" w14:textId="77777777" w:rsidR="00793682" w:rsidRPr="00793682" w:rsidRDefault="00793682" w:rsidP="00793682">
      <w:pPr>
        <w:spacing w:after="120"/>
        <w:jc w:val="center"/>
        <w:rPr>
          <w:sz w:val="32"/>
          <w:szCs w:val="32"/>
          <w:lang w:val="en-IN"/>
        </w:rPr>
      </w:pPr>
      <w:r w:rsidRPr="00793682">
        <w:rPr>
          <w:b/>
          <w:bCs/>
          <w:sz w:val="32"/>
          <w:szCs w:val="32"/>
          <w:lang w:val="en-IN"/>
        </w:rPr>
        <w:t>Project Design Phase</w:t>
      </w:r>
    </w:p>
    <w:p w14:paraId="2565E8DF" w14:textId="77777777" w:rsidR="00793682" w:rsidRPr="00793682" w:rsidRDefault="00793682" w:rsidP="00793682">
      <w:pPr>
        <w:spacing w:after="120"/>
        <w:jc w:val="center"/>
        <w:rPr>
          <w:sz w:val="32"/>
          <w:szCs w:val="32"/>
          <w:lang w:val="en-IN"/>
        </w:rPr>
      </w:pPr>
      <w:r w:rsidRPr="00793682">
        <w:rPr>
          <w:b/>
          <w:bCs/>
          <w:sz w:val="32"/>
          <w:szCs w:val="32"/>
          <w:lang w:val="en-IN"/>
        </w:rPr>
        <w:t>Proposed Solution Template</w:t>
      </w:r>
    </w:p>
    <w:p w14:paraId="51A37E64" w14:textId="77777777" w:rsidR="00793682" w:rsidRPr="00793682" w:rsidRDefault="00793682" w:rsidP="00793682">
      <w:pPr>
        <w:spacing w:after="120"/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669"/>
      </w:tblGrid>
      <w:tr w:rsidR="00793682" w:rsidRPr="00793682" w14:paraId="078ED4BA" w14:textId="77777777" w:rsidTr="007936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491D5" w14:textId="77777777" w:rsidR="00793682" w:rsidRPr="00793682" w:rsidRDefault="00793682" w:rsidP="00793682">
            <w:pPr>
              <w:spacing w:after="120"/>
              <w:rPr>
                <w:lang w:val="en-IN"/>
              </w:rPr>
            </w:pPr>
            <w:r w:rsidRPr="00793682">
              <w:rPr>
                <w:lang w:val="en-IN"/>
              </w:rPr>
              <w:t>Date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B4123" w14:textId="77777777" w:rsidR="00793682" w:rsidRPr="00793682" w:rsidRDefault="00793682" w:rsidP="00793682">
            <w:pPr>
              <w:spacing w:after="120"/>
              <w:rPr>
                <w:lang w:val="en-IN"/>
              </w:rPr>
            </w:pPr>
            <w:r w:rsidRPr="00793682">
              <w:rPr>
                <w:lang w:val="en-IN"/>
              </w:rPr>
              <w:t>15 February 2025</w:t>
            </w:r>
          </w:p>
        </w:tc>
      </w:tr>
      <w:tr w:rsidR="00793682" w:rsidRPr="00793682" w14:paraId="21DA0BBA" w14:textId="77777777" w:rsidTr="007936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3A476" w14:textId="77777777" w:rsidR="00793682" w:rsidRPr="00793682" w:rsidRDefault="00793682" w:rsidP="00793682">
            <w:pPr>
              <w:spacing w:after="120"/>
              <w:rPr>
                <w:lang w:val="en-IN"/>
              </w:rPr>
            </w:pPr>
            <w:r w:rsidRPr="00793682">
              <w:rPr>
                <w:lang w:val="en-IN"/>
              </w:rPr>
              <w:t>Team ID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901E3" w14:textId="3D865EBE" w:rsidR="00793682" w:rsidRPr="00793682" w:rsidRDefault="00B93323" w:rsidP="00793682">
            <w:pPr>
              <w:spacing w:after="120"/>
              <w:rPr>
                <w:lang w:val="en-IN"/>
              </w:rPr>
            </w:pPr>
            <w:r w:rsidRPr="00B93323">
              <w:rPr>
                <w:lang w:val="en-IN"/>
              </w:rPr>
              <w:t>SWTID-2026-7900</w:t>
            </w:r>
          </w:p>
        </w:tc>
      </w:tr>
      <w:tr w:rsidR="00793682" w:rsidRPr="00793682" w14:paraId="58C4635E" w14:textId="77777777" w:rsidTr="007936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0A321" w14:textId="77777777" w:rsidR="00793682" w:rsidRPr="00793682" w:rsidRDefault="00793682" w:rsidP="00793682">
            <w:pPr>
              <w:spacing w:after="120"/>
              <w:rPr>
                <w:lang w:val="en-IN"/>
              </w:rPr>
            </w:pPr>
            <w:r w:rsidRPr="00793682">
              <w:rPr>
                <w:lang w:val="en-IN"/>
              </w:rPr>
              <w:t>Project Name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F0A8C" w14:textId="191720B0" w:rsidR="00793682" w:rsidRPr="00793682" w:rsidRDefault="00793682" w:rsidP="00793682">
            <w:pPr>
              <w:spacing w:after="120"/>
              <w:rPr>
                <w:lang w:val="en-IN"/>
              </w:rPr>
            </w:pPr>
            <w:r w:rsidRPr="00793682">
              <w:t>Implement Client Script &amp; UI Policy (Incident)</w:t>
            </w:r>
          </w:p>
        </w:tc>
      </w:tr>
      <w:tr w:rsidR="00793682" w:rsidRPr="00793682" w14:paraId="755F90C8" w14:textId="77777777" w:rsidTr="007936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4E412" w14:textId="77777777" w:rsidR="00793682" w:rsidRPr="00793682" w:rsidRDefault="00793682" w:rsidP="00793682">
            <w:pPr>
              <w:spacing w:after="120"/>
              <w:rPr>
                <w:lang w:val="en-IN"/>
              </w:rPr>
            </w:pPr>
            <w:r w:rsidRPr="00793682">
              <w:rPr>
                <w:lang w:val="en-IN"/>
              </w:rPr>
              <w:t>Maximum Marks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E2E9F" w14:textId="77777777" w:rsidR="00793682" w:rsidRPr="00793682" w:rsidRDefault="00793682" w:rsidP="00793682">
            <w:pPr>
              <w:spacing w:after="120"/>
              <w:rPr>
                <w:lang w:val="en-IN"/>
              </w:rPr>
            </w:pPr>
            <w:r w:rsidRPr="00793682">
              <w:rPr>
                <w:lang w:val="en-IN"/>
              </w:rPr>
              <w:t>2 Marks</w:t>
            </w:r>
          </w:p>
        </w:tc>
      </w:tr>
    </w:tbl>
    <w:p w14:paraId="6CA621D0" w14:textId="77777777" w:rsidR="00060B84" w:rsidRDefault="00060B84">
      <w:pPr>
        <w:spacing w:after="120"/>
      </w:pPr>
    </w:p>
    <w:p w14:paraId="6D83C571" w14:textId="77777777" w:rsidR="00060B84" w:rsidRDefault="00060B84">
      <w:pPr>
        <w:spacing w:after="240"/>
      </w:pPr>
    </w:p>
    <w:p w14:paraId="733A6AE5" w14:textId="1A5816C1" w:rsidR="00060B84" w:rsidRDefault="00060B84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864"/>
        <w:gridCol w:w="2880"/>
        <w:gridCol w:w="6192"/>
      </w:tblGrid>
      <w:tr w:rsidR="00060B84" w14:paraId="112070E6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23D44C" w14:textId="77777777" w:rsidR="00060B84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S.No.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9419E3" w14:textId="77777777" w:rsidR="00060B84" w:rsidRDefault="00000000">
            <w:r>
              <w:rPr>
                <w:rFonts w:ascii="Arial" w:hAnsi="Arial"/>
                <w:b/>
                <w:color w:val="FFFFFF"/>
                <w:sz w:val="21"/>
              </w:rPr>
              <w:t>Parameter</w:t>
            </w:r>
          </w:p>
        </w:tc>
        <w:tc>
          <w:tcPr>
            <w:tcW w:w="6192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B1EEBC" w14:textId="77777777" w:rsidR="00060B84" w:rsidRDefault="00000000">
            <w:r>
              <w:rPr>
                <w:rFonts w:ascii="Arial" w:hAnsi="Arial"/>
                <w:b/>
                <w:color w:val="FFFFFF"/>
                <w:sz w:val="21"/>
              </w:rPr>
              <w:t>Description</w:t>
            </w:r>
          </w:p>
        </w:tc>
      </w:tr>
      <w:tr w:rsidR="00060B84" w14:paraId="6A7D212E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497EFCA" w14:textId="77777777" w:rsidR="00060B84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1</w:t>
            </w:r>
          </w:p>
        </w:tc>
        <w:tc>
          <w:tcPr>
            <w:tcW w:w="288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D6CFC1" w14:textId="77777777" w:rsidR="00060B84" w:rsidRDefault="00000000">
            <w:r>
              <w:rPr>
                <w:rFonts w:ascii="Arial" w:hAnsi="Arial"/>
                <w:b/>
                <w:color w:val="1E1E1E"/>
                <w:sz w:val="20"/>
              </w:rPr>
              <w:t>Problem Statement</w:t>
            </w:r>
            <w:r>
              <w:rPr>
                <w:rFonts w:ascii="Arial" w:hAnsi="Arial"/>
                <w:b/>
                <w:color w:val="1E1E1E"/>
                <w:sz w:val="20"/>
              </w:rPr>
              <w:br/>
              <w:t>(Problem to be solved)</w:t>
            </w:r>
          </w:p>
        </w:tc>
        <w:tc>
          <w:tcPr>
            <w:tcW w:w="61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01DF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Incident records in IT Service Management often suffer from incomplete, inconsistent, or incorrect data entry when relying solely on manual user checks and user awareness.</w:t>
            </w:r>
          </w:p>
          <w:p w14:paraId="296D8B13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This lack of automated client-side control leads to misrouted tickets, inaccurate impact/urgency assignments, breached SLAs, delayed resolution times, and unreliable platform analytics reporting.</w:t>
            </w:r>
          </w:p>
        </w:tc>
      </w:tr>
      <w:tr w:rsidR="00060B84" w14:paraId="045F962F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D6ED446" w14:textId="77777777" w:rsidR="00060B84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2</w:t>
            </w:r>
          </w:p>
        </w:tc>
        <w:tc>
          <w:tcPr>
            <w:tcW w:w="288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D27737" w14:textId="77777777" w:rsidR="00060B84" w:rsidRDefault="00000000">
            <w:r>
              <w:rPr>
                <w:rFonts w:ascii="Arial" w:hAnsi="Arial"/>
                <w:b/>
                <w:color w:val="1E1E1E"/>
                <w:sz w:val="20"/>
              </w:rPr>
              <w:t>Idea / Solution description</w:t>
            </w:r>
          </w:p>
        </w:tc>
        <w:tc>
          <w:tcPr>
            <w:tcW w:w="61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6780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Implementation of client-side controls on the ServiceNow Incident (incident) table to enforce data integrity dynamically at the user interface level:</w:t>
            </w:r>
          </w:p>
          <w:p w14:paraId="1D737058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UI Policy ('High Impact Control'): Automatically sets Assignment group to mandatory when Impact = 1 - High and reverses effects when false.</w:t>
            </w:r>
          </w:p>
          <w:p w14:paraId="70A9A773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UI Policy Action: Sets the Urgency field to Read-Only when Impact = 1 - High, preventing unauthorized changes.</w:t>
            </w:r>
          </w:p>
          <w:p w14:paraId="3789CB8F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onChange Client Script ('Auto set urgency for high impact'): Automatically sets Urgency to 1 - High and alerts the user when Impact changes to High.</w:t>
            </w:r>
          </w:p>
          <w:p w14:paraId="3C52EC44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onSubmit Client Script ('Prevent save if assigned to missing'): Intercepts form submission and blocks save if Impact = 1 - High and Assigned To is empty, displaying an explicit error box.</w:t>
            </w:r>
          </w:p>
          <w:p w14:paraId="543EB2D6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onCellEdit Client Script ('Prevent state change via list edit'): Blocks direct editing of the State field from Incident list views, enforcing form-based updates.</w:t>
            </w:r>
          </w:p>
        </w:tc>
      </w:tr>
      <w:tr w:rsidR="00060B84" w14:paraId="5F2AF345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21145C4" w14:textId="77777777" w:rsidR="00060B84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3</w:t>
            </w:r>
          </w:p>
        </w:tc>
        <w:tc>
          <w:tcPr>
            <w:tcW w:w="288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AE4EFD" w14:textId="77777777" w:rsidR="00060B84" w:rsidRDefault="00000000">
            <w:r>
              <w:rPr>
                <w:rFonts w:ascii="Arial" w:hAnsi="Arial"/>
                <w:b/>
                <w:color w:val="1E1E1E"/>
                <w:sz w:val="20"/>
              </w:rPr>
              <w:t>Novelty / Uniqueness</w:t>
            </w:r>
          </w:p>
        </w:tc>
        <w:tc>
          <w:tcPr>
            <w:tcW w:w="61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1121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Combines declarative UI Policies with multi-event programmatic Client Scripts (onChange, onSubmit, onCellEdit) into a unified, layered client-side validation architecture.</w:t>
            </w:r>
          </w:p>
          <w:p w14:paraId="51B31B4B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lastRenderedPageBreak/>
              <w:t>Provides real-time, zero-latency validation executing directly in the user browser without requiring server round-trips or database commits, maximizing form responsiveness while ensuring strict governance.</w:t>
            </w:r>
          </w:p>
        </w:tc>
      </w:tr>
      <w:tr w:rsidR="00060B84" w14:paraId="384D1EE8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DC394E8" w14:textId="77777777" w:rsidR="00060B84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lastRenderedPageBreak/>
              <w:t>4</w:t>
            </w:r>
          </w:p>
        </w:tc>
        <w:tc>
          <w:tcPr>
            <w:tcW w:w="288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343EE8" w14:textId="77777777" w:rsidR="00060B84" w:rsidRDefault="00000000">
            <w:r>
              <w:rPr>
                <w:rFonts w:ascii="Arial" w:hAnsi="Arial"/>
                <w:b/>
                <w:color w:val="1E1E1E"/>
                <w:sz w:val="20"/>
              </w:rPr>
              <w:t>Social Impact / Customer Satisfaction</w:t>
            </w:r>
          </w:p>
        </w:tc>
        <w:tc>
          <w:tcPr>
            <w:tcW w:w="61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E0DB8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Drastically improves Service Desk operational efficiency and ticket resolution quality.</w:t>
            </w:r>
          </w:p>
          <w:p w14:paraId="0141119B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By eliminating incomplete incident logging at the source, service agents reduce triage rework, leading to lower Mean Time to Resolve (MTTR), faster service restoration, and improved end-user customer satisfaction across the enterprise.</w:t>
            </w:r>
          </w:p>
        </w:tc>
      </w:tr>
      <w:tr w:rsidR="00060B84" w14:paraId="2FE8D66C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1A77B95" w14:textId="77777777" w:rsidR="00060B84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5</w:t>
            </w:r>
          </w:p>
        </w:tc>
        <w:tc>
          <w:tcPr>
            <w:tcW w:w="288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3CC525" w14:textId="77777777" w:rsidR="00060B84" w:rsidRDefault="00000000">
            <w:r>
              <w:rPr>
                <w:rFonts w:ascii="Arial" w:hAnsi="Arial"/>
                <w:b/>
                <w:color w:val="1E1E1E"/>
                <w:sz w:val="20"/>
              </w:rPr>
              <w:t>Business Model</w:t>
            </w:r>
            <w:r>
              <w:rPr>
                <w:rFonts w:ascii="Arial" w:hAnsi="Arial"/>
                <w:b/>
                <w:color w:val="1E1E1E"/>
                <w:sz w:val="20"/>
              </w:rPr>
              <w:br/>
              <w:t>(Revenue Model)</w:t>
            </w:r>
          </w:p>
        </w:tc>
        <w:tc>
          <w:tcPr>
            <w:tcW w:w="61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D0E4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Internal Enterprise OPEX Optimization &amp; Cost Avoidance Model:</w:t>
            </w:r>
          </w:p>
          <w:p w14:paraId="0751A5DE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Reduces operational expenses by streamlining incident handling and eliminating unnecessary ticket re-assignments.</w:t>
            </w:r>
          </w:p>
          <w:p w14:paraId="6254E826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Prevents financial and contractual penalties associated with SLA breaches by ensuring High Impact incidents are immediately mandated with assignment groups and assignees.</w:t>
            </w:r>
          </w:p>
          <w:p w14:paraId="6E5AE3FA" w14:textId="77777777" w:rsidR="00060B84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Maximizes ROI on ServiceNow platform investment through standardized, robust user interface workflows.</w:t>
            </w:r>
          </w:p>
        </w:tc>
      </w:tr>
      <w:tr w:rsidR="00060B84" w14:paraId="07D32012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276B698" w14:textId="77777777" w:rsidR="00060B84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6</w:t>
            </w:r>
          </w:p>
        </w:tc>
        <w:tc>
          <w:tcPr>
            <w:tcW w:w="288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479206" w14:textId="77777777" w:rsidR="00060B84" w:rsidRDefault="00000000">
            <w:r>
              <w:rPr>
                <w:rFonts w:ascii="Arial" w:hAnsi="Arial"/>
                <w:b/>
                <w:color w:val="1E1E1E"/>
                <w:sz w:val="20"/>
              </w:rPr>
              <w:t>Scalability of the Solution</w:t>
            </w:r>
          </w:p>
        </w:tc>
        <w:tc>
          <w:tcPr>
            <w:tcW w:w="61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E1D9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Highly scalable across the entire ServiceNow platform environment.</w:t>
            </w:r>
          </w:p>
          <w:p w14:paraId="211A0A71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The lightweight client-side design pattern can be easily adapted to other core ITIL modules (such as Problem Management, Change Management, Service Catalog, and HR Service Delivery).</w:t>
            </w:r>
          </w:p>
          <w:p w14:paraId="7F0F44E6" w14:textId="77777777" w:rsidR="00060B84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Scales horizontally across thousands of concurrent enterprise users without increasing server load or database transaction latency.</w:t>
            </w:r>
          </w:p>
        </w:tc>
      </w:tr>
    </w:tbl>
    <w:p w14:paraId="49821766" w14:textId="77777777" w:rsidR="003430F5" w:rsidRDefault="003430F5"/>
    <w:sectPr w:rsidR="003430F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99769">
    <w:abstractNumId w:val="8"/>
  </w:num>
  <w:num w:numId="2" w16cid:durableId="401878929">
    <w:abstractNumId w:val="6"/>
  </w:num>
  <w:num w:numId="3" w16cid:durableId="290526377">
    <w:abstractNumId w:val="5"/>
  </w:num>
  <w:num w:numId="4" w16cid:durableId="886989267">
    <w:abstractNumId w:val="4"/>
  </w:num>
  <w:num w:numId="5" w16cid:durableId="1549610837">
    <w:abstractNumId w:val="7"/>
  </w:num>
  <w:num w:numId="6" w16cid:durableId="648365465">
    <w:abstractNumId w:val="3"/>
  </w:num>
  <w:num w:numId="7" w16cid:durableId="9111120">
    <w:abstractNumId w:val="2"/>
  </w:num>
  <w:num w:numId="8" w16cid:durableId="1649478764">
    <w:abstractNumId w:val="1"/>
  </w:num>
  <w:num w:numId="9" w16cid:durableId="30516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9D"/>
    <w:rsid w:val="0006063C"/>
    <w:rsid w:val="00060B84"/>
    <w:rsid w:val="0015074B"/>
    <w:rsid w:val="0029639D"/>
    <w:rsid w:val="00326F90"/>
    <w:rsid w:val="003430F5"/>
    <w:rsid w:val="00793682"/>
    <w:rsid w:val="00A23302"/>
    <w:rsid w:val="00AA1D8D"/>
    <w:rsid w:val="00B47730"/>
    <w:rsid w:val="00B93323"/>
    <w:rsid w:val="00CB0664"/>
    <w:rsid w:val="00D86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DE257"/>
  <w14:defaultImageDpi w14:val="300"/>
  <w15:docId w15:val="{7F03C4A3-A770-450D-BCEE-D940CDE6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Namitha B</cp:lastModifiedBy>
  <cp:revision>4</cp:revision>
  <dcterms:created xsi:type="dcterms:W3CDTF">2013-12-23T23:15:00Z</dcterms:created>
  <dcterms:modified xsi:type="dcterms:W3CDTF">2026-10-01T05:58:00Z</dcterms:modified>
  <cp:category/>
</cp:coreProperties>
</file>