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78F" w:rsidRPr="00684E47" w:rsidRDefault="00F8178F">
      <w:pPr>
        <w:spacing w:after="29" w:line="259" w:lineRule="auto"/>
        <w:ind w:left="129" w:hanging="10"/>
        <w:jc w:val="center"/>
        <w:rPr>
          <w:rFonts w:ascii="Arial" w:hAnsi="Arial" w:cs="Arial"/>
          <w:szCs w:val="22"/>
        </w:rPr>
      </w:pPr>
    </w:p>
    <w:p w:rsidR="00B417DA" w:rsidRPr="007E5892" w:rsidRDefault="00B417DA" w:rsidP="00B417DA">
      <w:pPr>
        <w:spacing w:after="150" w:line="259" w:lineRule="auto"/>
        <w:ind w:left="10" w:right="127" w:hanging="10"/>
        <w:jc w:val="center"/>
        <w:rPr>
          <w:rFonts w:ascii="Arial" w:hAnsi="Arial" w:cs="Arial"/>
          <w:szCs w:val="22"/>
        </w:rPr>
      </w:pPr>
    </w:p>
    <w:p w:rsidR="00526338" w:rsidRDefault="00526338" w:rsidP="00B417DA">
      <w:pPr>
        <w:spacing w:after="150" w:line="259" w:lineRule="auto"/>
        <w:ind w:left="10" w:right="127" w:hanging="10"/>
        <w:jc w:val="center"/>
        <w:rPr>
          <w:rFonts w:ascii="Arial" w:eastAsiaTheme="minorEastAsia" w:hAnsi="Arial" w:cs="Arial"/>
          <w:color w:val="auto"/>
          <w:kern w:val="0"/>
          <w:szCs w:val="22"/>
        </w:rPr>
      </w:pPr>
      <w:r w:rsidRPr="007E5892">
        <w:rPr>
          <w:rFonts w:ascii="Arial" w:eastAsiaTheme="minorEastAsia" w:hAnsi="Arial" w:cs="Arial"/>
          <w:color w:val="auto"/>
          <w:kern w:val="0"/>
          <w:szCs w:val="22"/>
        </w:rPr>
        <w:t>"This is How They Tell Me the World Ends,"</w:t>
      </w:r>
    </w:p>
    <w:p w:rsidR="00526338" w:rsidRDefault="00526338" w:rsidP="00B417DA">
      <w:pPr>
        <w:spacing w:after="150" w:line="259" w:lineRule="auto"/>
        <w:ind w:left="10" w:right="127" w:hanging="10"/>
        <w:jc w:val="center"/>
        <w:rPr>
          <w:rFonts w:ascii="Arial" w:eastAsiaTheme="minorEastAsia" w:hAnsi="Arial" w:cs="Arial"/>
          <w:color w:val="auto"/>
          <w:kern w:val="0"/>
          <w:szCs w:val="22"/>
        </w:rPr>
      </w:pPr>
      <w:r>
        <w:rPr>
          <w:rFonts w:ascii="Arial" w:eastAsiaTheme="minorEastAsia" w:hAnsi="Arial" w:cs="Arial"/>
          <w:color w:val="auto"/>
          <w:kern w:val="0"/>
          <w:szCs w:val="22"/>
        </w:rPr>
        <w:t>review</w:t>
      </w:r>
    </w:p>
    <w:p w:rsidR="00B417DA" w:rsidRPr="007E5892" w:rsidRDefault="00526338" w:rsidP="00B417DA">
      <w:pPr>
        <w:spacing w:after="150" w:line="259" w:lineRule="auto"/>
        <w:ind w:left="10" w:right="127" w:hanging="10"/>
        <w:jc w:val="center"/>
        <w:rPr>
          <w:rFonts w:ascii="Arial" w:hAnsi="Arial" w:cs="Arial"/>
          <w:b/>
          <w:bCs/>
          <w:szCs w:val="22"/>
        </w:rPr>
      </w:pPr>
      <w:proofErr w:type="spellStart"/>
      <w:r>
        <w:rPr>
          <w:rFonts w:ascii="Arial" w:hAnsi="Arial" w:cs="Arial"/>
          <w:b/>
          <w:bCs/>
          <w:szCs w:val="22"/>
        </w:rPr>
        <w:t>dkschroot</w:t>
      </w:r>
      <w:proofErr w:type="spellEnd"/>
    </w:p>
    <w:p w:rsidR="00F8178F" w:rsidRPr="007E5892" w:rsidRDefault="00F8178F" w:rsidP="00B417DA">
      <w:pPr>
        <w:pStyle w:val="Heading1"/>
        <w:spacing w:after="35"/>
        <w:ind w:left="542" w:right="1620" w:firstLine="1153"/>
        <w:rPr>
          <w:rFonts w:ascii="Arial" w:hAnsi="Arial" w:cs="Arial"/>
          <w:sz w:val="22"/>
          <w:szCs w:val="22"/>
        </w:rPr>
        <w:sectPr w:rsidR="00F8178F" w:rsidRPr="007E5892" w:rsidSect="00F50288">
          <w:footerReference w:type="even" r:id="rId7"/>
          <w:footerReference w:type="default" r:id="rId8"/>
          <w:footerReference w:type="first" r:id="rId9"/>
          <w:pgSz w:w="11906" w:h="16838"/>
          <w:pgMar w:top="1436" w:right="1788" w:bottom="1531" w:left="1833" w:header="720" w:footer="720" w:gutter="0"/>
          <w:pgNumType w:start="3118"/>
          <w:cols w:space="720"/>
          <w:titlePg/>
        </w:sectPr>
      </w:pPr>
    </w:p>
    <w:p w:rsidR="00D74B19" w:rsidRPr="007E5892" w:rsidRDefault="00D74B19">
      <w:pPr>
        <w:spacing w:after="150" w:line="259" w:lineRule="auto"/>
        <w:ind w:left="129" w:right="127" w:hanging="10"/>
        <w:jc w:val="center"/>
        <w:rPr>
          <w:rFonts w:ascii="Arial" w:hAnsi="Arial" w:cs="Arial"/>
          <w:szCs w:val="22"/>
        </w:rPr>
      </w:pPr>
    </w:p>
    <w:p w:rsidR="007E5892" w:rsidRPr="007E5892" w:rsidRDefault="007E5892" w:rsidP="007E5892">
      <w:pPr>
        <w:autoSpaceDE w:val="0"/>
        <w:autoSpaceDN w:val="0"/>
        <w:adjustRightInd w:val="0"/>
        <w:spacing w:after="0" w:line="240" w:lineRule="auto"/>
        <w:ind w:left="0"/>
        <w:rPr>
          <w:rFonts w:ascii="Arial" w:eastAsiaTheme="minorEastAsia" w:hAnsi="Arial" w:cs="Arial"/>
          <w:b/>
          <w:bCs/>
          <w:color w:val="auto"/>
          <w:kern w:val="0"/>
          <w:szCs w:val="22"/>
        </w:rPr>
      </w:pPr>
      <w:r w:rsidRPr="007E5892">
        <w:rPr>
          <w:rFonts w:ascii="Arial" w:eastAsiaTheme="minorEastAsia" w:hAnsi="Arial" w:cs="Arial"/>
          <w:b/>
          <w:bCs/>
          <w:color w:val="auto"/>
          <w:kern w:val="0"/>
          <w:szCs w:val="22"/>
        </w:rPr>
        <w:t xml:space="preserve">Introduction: </w:t>
      </w: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r w:rsidRPr="007E5892">
        <w:rPr>
          <w:rFonts w:ascii="Arial" w:eastAsiaTheme="minorEastAsia" w:hAnsi="Arial" w:cs="Arial"/>
          <w:color w:val="auto"/>
          <w:kern w:val="0"/>
          <w:szCs w:val="22"/>
        </w:rPr>
        <w:t>Hey there, fellow cyber enthusiasts! I recently had the pleasure of diving into Nicole Perlroth's captivating book, "This is How They Tell Me the World Ends." If you're looking for a thrilling yet enlightening read about the fascinating world of cybersecurity, this book is an absolute gem.</w:t>
      </w: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r w:rsidRPr="007E5892">
        <w:rPr>
          <w:rFonts w:ascii="Arial" w:eastAsiaTheme="minorEastAsia" w:hAnsi="Arial" w:cs="Arial"/>
          <w:b/>
          <w:bCs/>
          <w:color w:val="auto"/>
          <w:kern w:val="0"/>
          <w:szCs w:val="22"/>
        </w:rPr>
        <w:t>A Gripping Journey Through Cyberspace:</w:t>
      </w:r>
      <w:r w:rsidRPr="007E5892">
        <w:rPr>
          <w:rFonts w:ascii="Arial" w:eastAsiaTheme="minorEastAsia" w:hAnsi="Arial" w:cs="Arial"/>
          <w:color w:val="auto"/>
          <w:kern w:val="0"/>
          <w:szCs w:val="22"/>
        </w:rPr>
        <w:t xml:space="preserve"> From the very first page, Perlroth's storytelling prowess had me hooked. She effortlessly breaks down complex concepts and technical jargon, making it accessible for everyone. Brace yourself for a thrilling adventure into the realms of hackers, spies, and digital warfare. It's like being immersed in a cyber espionage movie!</w:t>
      </w: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r w:rsidRPr="007E5892">
        <w:rPr>
          <w:rFonts w:ascii="Arial" w:eastAsiaTheme="minorEastAsia" w:hAnsi="Arial" w:cs="Arial"/>
          <w:b/>
          <w:bCs/>
          <w:color w:val="auto"/>
          <w:kern w:val="0"/>
          <w:szCs w:val="22"/>
        </w:rPr>
        <w:t>Wake-Up Call to Cyber Vulnerabilities:</w:t>
      </w:r>
      <w:r w:rsidRPr="007E5892">
        <w:rPr>
          <w:rFonts w:ascii="Arial" w:eastAsiaTheme="minorEastAsia" w:hAnsi="Arial" w:cs="Arial"/>
          <w:color w:val="auto"/>
          <w:kern w:val="0"/>
          <w:szCs w:val="22"/>
        </w:rPr>
        <w:t xml:space="preserve"> Prepare to have your eyes opened wide as </w:t>
      </w:r>
      <w:proofErr w:type="spellStart"/>
      <w:r w:rsidRPr="007E5892">
        <w:rPr>
          <w:rFonts w:ascii="Arial" w:eastAsiaTheme="minorEastAsia" w:hAnsi="Arial" w:cs="Arial"/>
          <w:color w:val="auto"/>
          <w:kern w:val="0"/>
          <w:szCs w:val="22"/>
        </w:rPr>
        <w:t>Perlroth</w:t>
      </w:r>
      <w:proofErr w:type="spellEnd"/>
      <w:r w:rsidRPr="007E5892">
        <w:rPr>
          <w:rFonts w:ascii="Arial" w:eastAsiaTheme="minorEastAsia" w:hAnsi="Arial" w:cs="Arial"/>
          <w:color w:val="auto"/>
          <w:kern w:val="0"/>
          <w:szCs w:val="22"/>
        </w:rPr>
        <w:t xml:space="preserve"> reveals the vulnerabilities and loopholes in our interconnected world. As she astutely states, "Our adversaries have figured out that if you want to hit a nation, you hit its banks, its companies, its critical infrastructure." Through real-life accounts of cyberattacks on critical infrastructure, governments, and corporations, she shows us the high stakes involved. It's a wake-up call that urges us to take action and address the urgent need for a more secure digital landscape. </w:t>
      </w: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r w:rsidRPr="007E5892">
        <w:rPr>
          <w:rFonts w:ascii="Arial" w:eastAsiaTheme="minorEastAsia" w:hAnsi="Arial" w:cs="Arial"/>
          <w:b/>
          <w:bCs/>
          <w:color w:val="auto"/>
          <w:kern w:val="0"/>
          <w:szCs w:val="22"/>
        </w:rPr>
        <w:t>Key Insights for a Safer Cyber World:</w:t>
      </w:r>
      <w:r w:rsidRPr="007E5892">
        <w:rPr>
          <w:rFonts w:ascii="Arial" w:eastAsiaTheme="minorEastAsia" w:hAnsi="Arial" w:cs="Arial"/>
          <w:color w:val="auto"/>
          <w:kern w:val="0"/>
          <w:szCs w:val="22"/>
        </w:rPr>
        <w:t xml:space="preserve"> </w:t>
      </w:r>
      <w:proofErr w:type="spellStart"/>
      <w:r w:rsidRPr="007E5892">
        <w:rPr>
          <w:rFonts w:ascii="Arial" w:eastAsiaTheme="minorEastAsia" w:hAnsi="Arial" w:cs="Arial"/>
          <w:color w:val="auto"/>
          <w:kern w:val="0"/>
          <w:szCs w:val="22"/>
        </w:rPr>
        <w:t>Perlroth</w:t>
      </w:r>
      <w:proofErr w:type="spellEnd"/>
      <w:r w:rsidRPr="007E5892">
        <w:rPr>
          <w:rFonts w:ascii="Arial" w:eastAsiaTheme="minorEastAsia" w:hAnsi="Arial" w:cs="Arial"/>
          <w:color w:val="auto"/>
          <w:kern w:val="0"/>
          <w:szCs w:val="22"/>
        </w:rPr>
        <w:t xml:space="preserve"> doesn't just point out the problems—she provides valuable solutions. One of the key takeaways from the book is the importance of cybersecurity education. As </w:t>
      </w:r>
      <w:proofErr w:type="spellStart"/>
      <w:r w:rsidRPr="007E5892">
        <w:rPr>
          <w:rFonts w:ascii="Arial" w:eastAsiaTheme="minorEastAsia" w:hAnsi="Arial" w:cs="Arial"/>
          <w:color w:val="auto"/>
          <w:kern w:val="0"/>
          <w:szCs w:val="22"/>
        </w:rPr>
        <w:t>Perlroth</w:t>
      </w:r>
      <w:proofErr w:type="spellEnd"/>
      <w:r w:rsidRPr="007E5892">
        <w:rPr>
          <w:rFonts w:ascii="Arial" w:eastAsiaTheme="minorEastAsia" w:hAnsi="Arial" w:cs="Arial"/>
          <w:color w:val="auto"/>
          <w:kern w:val="0"/>
          <w:szCs w:val="22"/>
        </w:rPr>
        <w:t xml:space="preserve"> eloquently puts it, "We need to provide cybersecurity education as widely as we do physical education." By empowering individuals with the knowledge and skills to </w:t>
      </w: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r w:rsidRPr="007E5892">
        <w:rPr>
          <w:rFonts w:ascii="Arial" w:eastAsiaTheme="minorEastAsia" w:hAnsi="Arial" w:cs="Arial"/>
          <w:color w:val="auto"/>
          <w:kern w:val="0"/>
          <w:szCs w:val="22"/>
        </w:rPr>
        <w:t xml:space="preserve">navigate the digital world safely, we can fortify our cyber </w:t>
      </w:r>
      <w:proofErr w:type="spellStart"/>
      <w:r w:rsidRPr="007E5892">
        <w:rPr>
          <w:rFonts w:ascii="Arial" w:eastAsiaTheme="minorEastAsia" w:hAnsi="Arial" w:cs="Arial"/>
          <w:color w:val="auto"/>
          <w:kern w:val="0"/>
          <w:szCs w:val="22"/>
        </w:rPr>
        <w:t>defenses</w:t>
      </w:r>
      <w:proofErr w:type="spellEnd"/>
      <w:r w:rsidRPr="007E5892">
        <w:rPr>
          <w:rFonts w:ascii="Arial" w:eastAsiaTheme="minorEastAsia" w:hAnsi="Arial" w:cs="Arial"/>
          <w:color w:val="auto"/>
          <w:kern w:val="0"/>
          <w:szCs w:val="22"/>
        </w:rPr>
        <w:t>. It's time to invest in comprehensive cybersecurity education programs for everyone.</w:t>
      </w: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r w:rsidRPr="007E5892">
        <w:rPr>
          <w:rFonts w:ascii="Arial" w:eastAsiaTheme="minorEastAsia" w:hAnsi="Arial" w:cs="Arial"/>
          <w:b/>
          <w:bCs/>
          <w:color w:val="auto"/>
          <w:kern w:val="0"/>
          <w:szCs w:val="22"/>
        </w:rPr>
        <w:t>Global Cooperation for Cyber Resilience:</w:t>
      </w:r>
      <w:r w:rsidRPr="007E5892">
        <w:rPr>
          <w:rFonts w:ascii="Arial" w:eastAsiaTheme="minorEastAsia" w:hAnsi="Arial" w:cs="Arial"/>
          <w:color w:val="auto"/>
          <w:kern w:val="0"/>
          <w:szCs w:val="22"/>
        </w:rPr>
        <w:t xml:space="preserve"> In "This is How They Tell Me the World Ends," </w:t>
      </w:r>
      <w:proofErr w:type="spellStart"/>
      <w:r w:rsidRPr="007E5892">
        <w:rPr>
          <w:rFonts w:ascii="Arial" w:eastAsiaTheme="minorEastAsia" w:hAnsi="Arial" w:cs="Arial"/>
          <w:color w:val="auto"/>
          <w:kern w:val="0"/>
          <w:szCs w:val="22"/>
        </w:rPr>
        <w:t>Perlroth</w:t>
      </w:r>
      <w:proofErr w:type="spellEnd"/>
      <w:r w:rsidRPr="007E5892">
        <w:rPr>
          <w:rFonts w:ascii="Arial" w:eastAsiaTheme="minorEastAsia" w:hAnsi="Arial" w:cs="Arial"/>
          <w:color w:val="auto"/>
          <w:kern w:val="0"/>
          <w:szCs w:val="22"/>
        </w:rPr>
        <w:t xml:space="preserve"> emphasizes the need for international cooperation and regulation to combat cyber threats effectively. As she aptly states, "The internet has no natural defences; it can only be as secure as we make it." She uncovers the complex web of state-sponsored hacking and cyber warfare, shedding light on the challenges of attribution and deterrence. Her insights highlight the importance of establishing global norms and protocols for a safer digital space. </w:t>
      </w:r>
    </w:p>
    <w:p w:rsidR="007E5892" w:rsidRPr="007E5892" w:rsidRDefault="007E5892" w:rsidP="007E5892">
      <w:pPr>
        <w:autoSpaceDE w:val="0"/>
        <w:autoSpaceDN w:val="0"/>
        <w:adjustRightInd w:val="0"/>
        <w:spacing w:after="0" w:line="240" w:lineRule="auto"/>
        <w:ind w:left="0"/>
        <w:rPr>
          <w:rFonts w:ascii="Arial" w:eastAsiaTheme="minorEastAsia" w:hAnsi="Arial" w:cs="Arial"/>
          <w:b/>
          <w:bCs/>
          <w:color w:val="auto"/>
          <w:kern w:val="0"/>
          <w:szCs w:val="22"/>
        </w:rPr>
      </w:pP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r w:rsidRPr="007E5892">
        <w:rPr>
          <w:rFonts w:ascii="Arial" w:eastAsiaTheme="minorEastAsia" w:hAnsi="Arial" w:cs="Arial"/>
          <w:b/>
          <w:bCs/>
          <w:color w:val="auto"/>
          <w:kern w:val="0"/>
          <w:szCs w:val="22"/>
        </w:rPr>
        <w:t>A Call to Action for a Better Digital Future:</w:t>
      </w:r>
      <w:r w:rsidRPr="007E5892">
        <w:rPr>
          <w:rFonts w:ascii="Arial" w:eastAsiaTheme="minorEastAsia" w:hAnsi="Arial" w:cs="Arial"/>
          <w:color w:val="auto"/>
          <w:kern w:val="0"/>
          <w:szCs w:val="22"/>
        </w:rPr>
        <w:t xml:space="preserve"> Above all, Perlroth's book is a call to action. Her compelling arguments, gripping narratives, and thought-provoking insights leave an indelible mark on readers. We must heed her call to take responsibility for the future of our interconnected world. By implementing the strategies, she proposes, we can collectively work towards a better, more efficient, and safer cyber space for ourselves and future generations. </w:t>
      </w: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r w:rsidRPr="007E5892">
        <w:rPr>
          <w:rFonts w:ascii="Arial" w:eastAsiaTheme="minorEastAsia" w:hAnsi="Arial" w:cs="Arial"/>
          <w:b/>
          <w:bCs/>
          <w:color w:val="auto"/>
          <w:kern w:val="0"/>
          <w:szCs w:val="22"/>
        </w:rPr>
        <w:t>Conclusion:</w:t>
      </w:r>
      <w:r w:rsidRPr="007E5892">
        <w:rPr>
          <w:rFonts w:ascii="Arial" w:eastAsiaTheme="minorEastAsia" w:hAnsi="Arial" w:cs="Arial"/>
          <w:color w:val="auto"/>
          <w:kern w:val="0"/>
          <w:szCs w:val="22"/>
        </w:rPr>
        <w:t xml:space="preserve"> </w:t>
      </w:r>
    </w:p>
    <w:p w:rsidR="007E5892" w:rsidRPr="007E5892" w:rsidRDefault="007E5892" w:rsidP="007E5892">
      <w:pPr>
        <w:autoSpaceDE w:val="0"/>
        <w:autoSpaceDN w:val="0"/>
        <w:adjustRightInd w:val="0"/>
        <w:spacing w:after="0" w:line="240" w:lineRule="auto"/>
        <w:ind w:left="0"/>
        <w:rPr>
          <w:rFonts w:ascii="Arial" w:eastAsiaTheme="minorEastAsia" w:hAnsi="Arial" w:cs="Arial"/>
          <w:color w:val="auto"/>
          <w:kern w:val="0"/>
          <w:szCs w:val="22"/>
        </w:rPr>
      </w:pPr>
      <w:r w:rsidRPr="007E5892">
        <w:rPr>
          <w:rFonts w:ascii="Arial" w:eastAsiaTheme="minorEastAsia" w:hAnsi="Arial" w:cs="Arial"/>
          <w:color w:val="auto"/>
          <w:kern w:val="0"/>
          <w:szCs w:val="22"/>
        </w:rPr>
        <w:t>In closing, "This is How They Tell Me the World Ends" is a must-read for anyone seeking a profound understanding of cybersecurity challenges and potential solutions. With its engaging storytelling and practical recommendations, the book appeals to both cyber enthusiasts and newcomers alike. So, grab a copy, immerse yourself in the cyber realm, and join the movement towards a more secure and resilient digital future!</w:t>
      </w:r>
    </w:p>
    <w:p w:rsidR="00DD6B76" w:rsidRPr="007E5892" w:rsidRDefault="00DD6B76" w:rsidP="00D74B19">
      <w:pPr>
        <w:spacing w:after="85"/>
        <w:ind w:left="16"/>
        <w:rPr>
          <w:rFonts w:ascii="Arial" w:hAnsi="Arial" w:cs="Arial"/>
          <w:szCs w:val="22"/>
        </w:rPr>
      </w:pPr>
    </w:p>
    <w:p w:rsidR="00DD6B76" w:rsidRPr="000711B8" w:rsidRDefault="00DD6B76" w:rsidP="00D74B19">
      <w:pPr>
        <w:spacing w:after="85"/>
        <w:ind w:left="16"/>
        <w:rPr>
          <w:rFonts w:ascii="Arial" w:hAnsi="Arial" w:cs="Arial"/>
        </w:rPr>
      </w:pPr>
    </w:p>
    <w:p w:rsidR="00DD6B76" w:rsidRPr="000711B8" w:rsidRDefault="00DD6B76" w:rsidP="00D74B19">
      <w:pPr>
        <w:spacing w:after="85"/>
        <w:ind w:left="16"/>
        <w:rPr>
          <w:rFonts w:ascii="Arial" w:hAnsi="Arial" w:cs="Arial"/>
        </w:rPr>
      </w:pPr>
    </w:p>
    <w:p w:rsidR="00DD6B76" w:rsidRPr="000711B8" w:rsidRDefault="00DD6B76" w:rsidP="00D74B19">
      <w:pPr>
        <w:spacing w:after="85"/>
        <w:ind w:left="16"/>
        <w:rPr>
          <w:rFonts w:ascii="Arial" w:hAnsi="Arial" w:cs="Arial"/>
        </w:rPr>
      </w:pPr>
    </w:p>
    <w:p w:rsidR="00DD6B76" w:rsidRPr="000711B8" w:rsidRDefault="00DD6B76" w:rsidP="00D74B19">
      <w:pPr>
        <w:spacing w:after="85"/>
        <w:ind w:left="16"/>
        <w:rPr>
          <w:rFonts w:ascii="Arial" w:hAnsi="Arial" w:cs="Arial"/>
        </w:rPr>
      </w:pPr>
    </w:p>
    <w:p w:rsidR="00DD6B76" w:rsidRPr="000711B8" w:rsidRDefault="00DD6B76" w:rsidP="00D74B19">
      <w:pPr>
        <w:spacing w:after="85"/>
        <w:ind w:left="16"/>
        <w:rPr>
          <w:rFonts w:ascii="Arial" w:hAnsi="Arial" w:cs="Arial"/>
        </w:rPr>
      </w:pPr>
    </w:p>
    <w:p w:rsidR="00DD6B76" w:rsidRDefault="00DD6B76" w:rsidP="00D74B19">
      <w:pPr>
        <w:spacing w:after="85"/>
        <w:ind w:left="16"/>
      </w:pPr>
    </w:p>
    <w:sectPr w:rsidR="00DD6B76" w:rsidSect="00F50288">
      <w:type w:val="continuous"/>
      <w:pgSz w:w="11906" w:h="16838"/>
      <w:pgMar w:top="1261" w:right="1356" w:bottom="317" w:left="1411" w:header="720" w:footer="720" w:gutter="0"/>
      <w:cols w:num="2" w:space="29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62AD" w:rsidRDefault="008662AD">
      <w:pPr>
        <w:spacing w:after="0" w:line="240" w:lineRule="auto"/>
      </w:pPr>
      <w:r>
        <w:separator/>
      </w:r>
    </w:p>
  </w:endnote>
  <w:endnote w:type="continuationSeparator" w:id="0">
    <w:p w:rsidR="008662AD" w:rsidRDefault="0086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78F" w:rsidRDefault="00000000">
    <w:pPr>
      <w:spacing w:after="0" w:line="259" w:lineRule="auto"/>
      <w:ind w:left="0"/>
      <w:jc w:val="center"/>
    </w:pPr>
    <w:r>
      <w:fldChar w:fldCharType="begin"/>
    </w:r>
    <w:r>
      <w:instrText xml:space="preserve"> PAGE   \* MERGEFORMAT </w:instrText>
    </w:r>
    <w:r>
      <w:fldChar w:fldCharType="separate"/>
    </w:r>
    <w:r>
      <w:t>3120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78F" w:rsidRDefault="00000000">
    <w:pPr>
      <w:spacing w:after="0" w:line="259" w:lineRule="auto"/>
      <w:ind w:left="0"/>
      <w:jc w:val="center"/>
    </w:pPr>
    <w:r>
      <w:fldChar w:fldCharType="begin"/>
    </w:r>
    <w:r>
      <w:instrText xml:space="preserve"> PAGE   \* MERGEFORMAT </w:instrText>
    </w:r>
    <w:r>
      <w:fldChar w:fldCharType="separate"/>
    </w:r>
    <w:r>
      <w:t>3120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78F" w:rsidRDefault="00F8178F">
    <w:pPr>
      <w:spacing w:after="160" w:line="259"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62AD" w:rsidRDefault="008662AD">
      <w:pPr>
        <w:spacing w:after="37" w:line="259" w:lineRule="auto"/>
        <w:ind w:left="282"/>
      </w:pPr>
      <w:r>
        <w:separator/>
      </w:r>
    </w:p>
  </w:footnote>
  <w:footnote w:type="continuationSeparator" w:id="0">
    <w:p w:rsidR="008662AD" w:rsidRDefault="008662AD">
      <w:pPr>
        <w:spacing w:after="37" w:line="259" w:lineRule="auto"/>
        <w:ind w:left="28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81569"/>
    <w:multiLevelType w:val="hybridMultilevel"/>
    <w:tmpl w:val="00B44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E165EA"/>
    <w:multiLevelType w:val="multilevel"/>
    <w:tmpl w:val="38C0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54D6D"/>
    <w:multiLevelType w:val="hybridMultilevel"/>
    <w:tmpl w:val="20AA889C"/>
    <w:lvl w:ilvl="0" w:tplc="4FACFF36">
      <w:start w:val="1"/>
      <w:numFmt w:val="lowerLetter"/>
      <w:lvlText w:val="(%1)"/>
      <w:lvlJc w:val="left"/>
      <w:pPr>
        <w:ind w:left="2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82E89DA">
      <w:start w:val="1"/>
      <w:numFmt w:val="lowerLetter"/>
      <w:lvlText w:val="%2"/>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6007618">
      <w:start w:val="1"/>
      <w:numFmt w:val="lowerRoman"/>
      <w:lvlText w:val="%3"/>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DF23932">
      <w:start w:val="1"/>
      <w:numFmt w:val="decimal"/>
      <w:lvlText w:val="%4"/>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81CDDDC">
      <w:start w:val="1"/>
      <w:numFmt w:val="lowerLetter"/>
      <w:lvlText w:val="%5"/>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6526C0C">
      <w:start w:val="1"/>
      <w:numFmt w:val="lowerRoman"/>
      <w:lvlText w:val="%6"/>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2005628">
      <w:start w:val="1"/>
      <w:numFmt w:val="decimal"/>
      <w:lvlText w:val="%7"/>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FD42DDE">
      <w:start w:val="1"/>
      <w:numFmt w:val="lowerLetter"/>
      <w:lvlText w:val="%8"/>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AC2E378">
      <w:start w:val="1"/>
      <w:numFmt w:val="lowerRoman"/>
      <w:lvlText w:val="%9"/>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4308134">
    <w:abstractNumId w:val="2"/>
  </w:num>
  <w:num w:numId="2" w16cid:durableId="769473678">
    <w:abstractNumId w:val="0"/>
  </w:num>
  <w:num w:numId="3" w16cid:durableId="1085689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78F"/>
    <w:rsid w:val="000711B8"/>
    <w:rsid w:val="000B438B"/>
    <w:rsid w:val="001727CC"/>
    <w:rsid w:val="00244B3D"/>
    <w:rsid w:val="00515129"/>
    <w:rsid w:val="00526338"/>
    <w:rsid w:val="005951B0"/>
    <w:rsid w:val="005F7F5A"/>
    <w:rsid w:val="00641D4E"/>
    <w:rsid w:val="00684E47"/>
    <w:rsid w:val="006F1052"/>
    <w:rsid w:val="007E5892"/>
    <w:rsid w:val="008662AD"/>
    <w:rsid w:val="008A65A0"/>
    <w:rsid w:val="008B4C83"/>
    <w:rsid w:val="00AC490E"/>
    <w:rsid w:val="00AD2ABF"/>
    <w:rsid w:val="00B0682B"/>
    <w:rsid w:val="00B417DA"/>
    <w:rsid w:val="00B465F1"/>
    <w:rsid w:val="00C34444"/>
    <w:rsid w:val="00D74B19"/>
    <w:rsid w:val="00DD32B6"/>
    <w:rsid w:val="00DD6B76"/>
    <w:rsid w:val="00E4127A"/>
    <w:rsid w:val="00F50288"/>
    <w:rsid w:val="00F807D4"/>
    <w:rsid w:val="00F8178F"/>
    <w:rsid w:val="00FC067B"/>
    <w:rsid w:val="00FE4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46B1"/>
  <w15:docId w15:val="{4430D552-A2DB-E644-B504-5D55AA1D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5" w:line="257" w:lineRule="auto"/>
        <w:ind w:left="2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7" w:line="259" w:lineRule="auto"/>
      <w:ind w:left="129" w:hanging="10"/>
      <w:outlineLvl w:val="0"/>
    </w:pPr>
    <w:rPr>
      <w:rFonts w:ascii="Calibri" w:eastAsia="Calibri" w:hAnsi="Calibri" w:cs="Calibri"/>
      <w:color w:val="000000"/>
    </w:rPr>
  </w:style>
  <w:style w:type="paragraph" w:styleId="Heading2">
    <w:name w:val="heading 2"/>
    <w:basedOn w:val="Normal"/>
    <w:next w:val="Normal"/>
    <w:link w:val="Heading2Char"/>
    <w:uiPriority w:val="9"/>
    <w:semiHidden/>
    <w:unhideWhenUsed/>
    <w:qFormat/>
    <w:rsid w:val="00F80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4E47"/>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DD6B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ind w:left="204"/>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unhideWhenUsed/>
    <w:qFormat/>
    <w:rsid w:val="00D74B19"/>
    <w:pPr>
      <w:spacing w:after="0" w:line="480" w:lineRule="auto"/>
      <w:ind w:left="720"/>
      <w:contextualSpacing/>
    </w:pPr>
    <w:rPr>
      <w:rFonts w:asciiTheme="minorHAnsi" w:eastAsiaTheme="minorEastAsia" w:hAnsiTheme="minorHAnsi" w:cstheme="minorBidi"/>
      <w:color w:val="auto"/>
      <w:kern w:val="24"/>
      <w:sz w:val="24"/>
      <w:lang w:val="en-US" w:eastAsia="ja-JP"/>
      <w14:ligatures w14:val="none"/>
    </w:rPr>
  </w:style>
  <w:style w:type="character" w:styleId="Hyperlink">
    <w:name w:val="Hyperlink"/>
    <w:basedOn w:val="DefaultParagraphFont"/>
    <w:uiPriority w:val="99"/>
    <w:unhideWhenUsed/>
    <w:rsid w:val="00D74B19"/>
    <w:rPr>
      <w:color w:val="0563C1" w:themeColor="hyperlink"/>
      <w:u w:val="single"/>
    </w:rPr>
  </w:style>
  <w:style w:type="character" w:styleId="FollowedHyperlink">
    <w:name w:val="FollowedHyperlink"/>
    <w:basedOn w:val="DefaultParagraphFont"/>
    <w:uiPriority w:val="99"/>
    <w:semiHidden/>
    <w:unhideWhenUsed/>
    <w:rsid w:val="00D74B19"/>
    <w:rPr>
      <w:color w:val="954F72" w:themeColor="followedHyperlink"/>
      <w:u w:val="single"/>
    </w:rPr>
  </w:style>
  <w:style w:type="character" w:styleId="UnresolvedMention">
    <w:name w:val="Unresolved Mention"/>
    <w:basedOn w:val="DefaultParagraphFont"/>
    <w:uiPriority w:val="99"/>
    <w:semiHidden/>
    <w:unhideWhenUsed/>
    <w:rsid w:val="00D74B19"/>
    <w:rPr>
      <w:color w:val="605E5C"/>
      <w:shd w:val="clear" w:color="auto" w:fill="E1DFDD"/>
    </w:rPr>
  </w:style>
  <w:style w:type="character" w:customStyle="1" w:styleId="Heading3Char">
    <w:name w:val="Heading 3 Char"/>
    <w:basedOn w:val="DefaultParagraphFont"/>
    <w:link w:val="Heading3"/>
    <w:uiPriority w:val="9"/>
    <w:semiHidden/>
    <w:rsid w:val="00684E4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515129"/>
    <w:rPr>
      <w:b/>
      <w:bCs/>
    </w:rPr>
  </w:style>
  <w:style w:type="paragraph" w:styleId="Caption">
    <w:name w:val="caption"/>
    <w:basedOn w:val="Normal"/>
    <w:next w:val="Normal"/>
    <w:uiPriority w:val="35"/>
    <w:unhideWhenUsed/>
    <w:qFormat/>
    <w:rsid w:val="001727C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F807D4"/>
    <w:rPr>
      <w:rFonts w:asciiTheme="majorHAnsi" w:eastAsiaTheme="majorEastAsia" w:hAnsiTheme="majorHAnsi" w:cstheme="majorBidi"/>
      <w:color w:val="2F5496" w:themeColor="accent1" w:themeShade="BF"/>
      <w:sz w:val="26"/>
      <w:szCs w:val="26"/>
    </w:rPr>
  </w:style>
  <w:style w:type="table" w:styleId="TableGrid0">
    <w:name w:val="Table Grid"/>
    <w:basedOn w:val="TableNormal"/>
    <w:uiPriority w:val="39"/>
    <w:rsid w:val="00F50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D6B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DD32B6"/>
    <w:rPr>
      <w:rFonts w:asciiTheme="majorHAnsi" w:eastAsiaTheme="majorEastAsia" w:hAnsiTheme="majorHAnsi" w:cstheme="majorBidi"/>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4031">
      <w:bodyDiv w:val="1"/>
      <w:marLeft w:val="0"/>
      <w:marRight w:val="0"/>
      <w:marTop w:val="0"/>
      <w:marBottom w:val="0"/>
      <w:divBdr>
        <w:top w:val="none" w:sz="0" w:space="0" w:color="auto"/>
        <w:left w:val="none" w:sz="0" w:space="0" w:color="auto"/>
        <w:bottom w:val="none" w:sz="0" w:space="0" w:color="auto"/>
        <w:right w:val="none" w:sz="0" w:space="0" w:color="auto"/>
      </w:divBdr>
      <w:divsChild>
        <w:div w:id="1171602913">
          <w:marLeft w:val="0"/>
          <w:marRight w:val="0"/>
          <w:marTop w:val="0"/>
          <w:marBottom w:val="0"/>
          <w:divBdr>
            <w:top w:val="none" w:sz="0" w:space="0" w:color="auto"/>
            <w:left w:val="none" w:sz="0" w:space="0" w:color="auto"/>
            <w:bottom w:val="none" w:sz="0" w:space="0" w:color="auto"/>
            <w:right w:val="none" w:sz="0" w:space="0" w:color="auto"/>
          </w:divBdr>
          <w:divsChild>
            <w:div w:id="1687093256">
              <w:marLeft w:val="0"/>
              <w:marRight w:val="0"/>
              <w:marTop w:val="0"/>
              <w:marBottom w:val="0"/>
              <w:divBdr>
                <w:top w:val="none" w:sz="0" w:space="0" w:color="auto"/>
                <w:left w:val="none" w:sz="0" w:space="0" w:color="auto"/>
                <w:bottom w:val="none" w:sz="0" w:space="0" w:color="auto"/>
                <w:right w:val="none" w:sz="0" w:space="0" w:color="auto"/>
              </w:divBdr>
              <w:divsChild>
                <w:div w:id="17217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5737">
      <w:bodyDiv w:val="1"/>
      <w:marLeft w:val="0"/>
      <w:marRight w:val="0"/>
      <w:marTop w:val="0"/>
      <w:marBottom w:val="0"/>
      <w:divBdr>
        <w:top w:val="none" w:sz="0" w:space="0" w:color="auto"/>
        <w:left w:val="none" w:sz="0" w:space="0" w:color="auto"/>
        <w:bottom w:val="none" w:sz="0" w:space="0" w:color="auto"/>
        <w:right w:val="none" w:sz="0" w:space="0" w:color="auto"/>
      </w:divBdr>
      <w:divsChild>
        <w:div w:id="515733039">
          <w:marLeft w:val="0"/>
          <w:marRight w:val="0"/>
          <w:marTop w:val="0"/>
          <w:marBottom w:val="0"/>
          <w:divBdr>
            <w:top w:val="none" w:sz="0" w:space="0" w:color="auto"/>
            <w:left w:val="none" w:sz="0" w:space="0" w:color="auto"/>
            <w:bottom w:val="none" w:sz="0" w:space="0" w:color="auto"/>
            <w:right w:val="none" w:sz="0" w:space="0" w:color="auto"/>
          </w:divBdr>
          <w:divsChild>
            <w:div w:id="343826930">
              <w:marLeft w:val="0"/>
              <w:marRight w:val="0"/>
              <w:marTop w:val="0"/>
              <w:marBottom w:val="0"/>
              <w:divBdr>
                <w:top w:val="none" w:sz="0" w:space="0" w:color="auto"/>
                <w:left w:val="none" w:sz="0" w:space="0" w:color="auto"/>
                <w:bottom w:val="none" w:sz="0" w:space="0" w:color="auto"/>
                <w:right w:val="none" w:sz="0" w:space="0" w:color="auto"/>
              </w:divBdr>
              <w:divsChild>
                <w:div w:id="7366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7028">
      <w:bodyDiv w:val="1"/>
      <w:marLeft w:val="0"/>
      <w:marRight w:val="0"/>
      <w:marTop w:val="0"/>
      <w:marBottom w:val="0"/>
      <w:divBdr>
        <w:top w:val="none" w:sz="0" w:space="0" w:color="auto"/>
        <w:left w:val="none" w:sz="0" w:space="0" w:color="auto"/>
        <w:bottom w:val="none" w:sz="0" w:space="0" w:color="auto"/>
        <w:right w:val="none" w:sz="0" w:space="0" w:color="auto"/>
      </w:divBdr>
    </w:div>
    <w:div w:id="1383364752">
      <w:bodyDiv w:val="1"/>
      <w:marLeft w:val="0"/>
      <w:marRight w:val="0"/>
      <w:marTop w:val="0"/>
      <w:marBottom w:val="0"/>
      <w:divBdr>
        <w:top w:val="none" w:sz="0" w:space="0" w:color="auto"/>
        <w:left w:val="none" w:sz="0" w:space="0" w:color="auto"/>
        <w:bottom w:val="none" w:sz="0" w:space="0" w:color="auto"/>
        <w:right w:val="none" w:sz="0" w:space="0" w:color="auto"/>
      </w:divBdr>
      <w:divsChild>
        <w:div w:id="1716810815">
          <w:marLeft w:val="0"/>
          <w:marRight w:val="0"/>
          <w:marTop w:val="0"/>
          <w:marBottom w:val="0"/>
          <w:divBdr>
            <w:top w:val="none" w:sz="0" w:space="0" w:color="auto"/>
            <w:left w:val="none" w:sz="0" w:space="0" w:color="auto"/>
            <w:bottom w:val="none" w:sz="0" w:space="0" w:color="auto"/>
            <w:right w:val="none" w:sz="0" w:space="0" w:color="auto"/>
          </w:divBdr>
          <w:divsChild>
            <w:div w:id="1363434422">
              <w:marLeft w:val="0"/>
              <w:marRight w:val="0"/>
              <w:marTop w:val="0"/>
              <w:marBottom w:val="0"/>
              <w:divBdr>
                <w:top w:val="none" w:sz="0" w:space="0" w:color="auto"/>
                <w:left w:val="none" w:sz="0" w:space="0" w:color="auto"/>
                <w:bottom w:val="none" w:sz="0" w:space="0" w:color="auto"/>
                <w:right w:val="none" w:sz="0" w:space="0" w:color="auto"/>
              </w:divBdr>
              <w:divsChild>
                <w:div w:id="7500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How Good is Your Tokenizer? On the Monolingual Performance of Multilingual Language Models</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Good is Your Tokenizer? On the Monolingual Performance of Multilingual Language Models</dc:title>
  <dc:subject>In this work, we provide a systematic and comprehensive empirical comparison of pretrained multilingual language models versus their monolingual counterparts with regard to their monolingual task performance. We study a set of nine typologically diverse languages with readily available pretrained monolingual models on a set of five diverse monolingual downstream tasks. We first aim to establish, via fair and controlled comparisons, if a gap between the multilingual and the corresponding monolingual representation of that language exists, and subsequently investigate the reason for any performance difference. To disentangle conflating factors, we train new monolingual models on the same data, with monolingually and multilingually trained tokenizers. We find that while the pretraining data size is an important factor, a designated monolingual tokenizer plays an equally important role in the downstream performance. Our results show that languages that are adequately represented in the multilingual model’s vocabulary exhibit negligible performance decreases over their monolingual counterparts. We further find that replacing the original multilingual tokenizer with the specialized monolingual tokenizer improves the downstream performance of the multilingual model for almost every task and language.</dc:subject>
  <dc:creator>Phillip Rust, Jonas Pfeiffer, Ivan Vuli, Sebastian Ruder, Iryna Gurevych</dc:creator>
  <cp:keywords>01 Aug 2021, Meeting of the Association for Computational Linguistics, Technische Universität Darmstadt, University of Cambridge, Google, University of Paderborn</cp:keywords>
  <cp:lastModifiedBy>Microsoft Office User</cp:lastModifiedBy>
  <cp:revision>2</cp:revision>
  <cp:lastPrinted>2023-06-12T02:19:00Z</cp:lastPrinted>
  <dcterms:created xsi:type="dcterms:W3CDTF">2023-07-11T22:01:00Z</dcterms:created>
  <dcterms:modified xsi:type="dcterms:W3CDTF">2023-07-11T22:01:00Z</dcterms:modified>
</cp:coreProperties>
</file>