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809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 投研智能系统 — 整体规划方案</w:t>
      </w:r>
      <w:bookmarkStart w:id="0" w:name="_GoBack"/>
      <w:bookmarkEnd w:id="0"/>
    </w:p>
    <w:p w14:paraId="6F52D3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</w:rPr>
        <w:pict>
          <v:rect id="_x0000_i1025" o:spt="1" style="height:1.5pt;width:432pt;" fillcolor="#3B3B3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54C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一、整体定位</w:t>
      </w:r>
    </w:p>
    <w:p w14:paraId="1765FE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Style w:val="9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目标：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 构建一个本地运行的个人投研看板，覆盖从宏观研究 → 标的筛选 → 基本面分析 → 事件监控 → 材料生成 → 风控合规的全流程闭环。</w:t>
      </w:r>
    </w:p>
    <w:p w14:paraId="5ACDCC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</w:rPr>
      </w:pPr>
      <w:r>
        <w:rPr>
          <w:rStyle w:val="9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核心约束已锁定：</w:t>
      </w:r>
    </w:p>
    <w:p w14:paraId="2FCFEC0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✅ 本地Web应用（你一个人用，预留团队扩展）</w:t>
      </w:r>
    </w:p>
    <w:p w14:paraId="2D56CA9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✅ 非技术背景，全程AI协作开发</w:t>
      </w:r>
    </w:p>
    <w:p w14:paraId="34ECDC4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✅ A股 + 港股双市场</w:t>
      </w:r>
    </w:p>
    <w:p w14:paraId="040707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✅ 数据源从零规划</w:t>
      </w:r>
    </w:p>
    <w:p w14:paraId="2003D2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</w:rPr>
      </w:pPr>
      <w:r>
        <w:pict>
          <v:rect id="_x0000_i1026" o:spt="1" style="height:1.5pt;width:432pt;" fillcolor="#3B3B3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0F58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二、系统架构设计</w:t>
      </w:r>
    </w:p>
    <w:p w14:paraId="7428D6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┌─────────────────────────────────────────────────┐</w:t>
      </w:r>
    </w:p>
    <w:p w14:paraId="751DC0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│                   用户界面层                     │</w:t>
      </w:r>
    </w:p>
    <w:p w14:paraId="4C6A3E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│         Streamlit Web看板（本地浏览器访问）        │</w:t>
      </w:r>
    </w:p>
    <w:p w14:paraId="74ECB1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├─────────────────────────────────────────────────┤</w:t>
      </w:r>
    </w:p>
    <w:p w14:paraId="238915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│                   业务逻辑层                      │</w:t>
      </w:r>
    </w:p>
    <w:p w14:paraId="48F1A3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│  板块1~7 各模块 + AI分析引擎（老板直接对话）        │</w:t>
      </w:r>
    </w:p>
    <w:p w14:paraId="660443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├─────────────────────────────────────────────────┤</w:t>
      </w:r>
    </w:p>
    <w:p w14:paraId="5F2997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│                   数据层                          │</w:t>
      </w:r>
    </w:p>
    <w:p w14:paraId="67FD32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│  SQLite本地数据库 + AKShare/Tushare数据接口       │</w:t>
      </w:r>
    </w:p>
    <w:p w14:paraId="2126C6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├─────────────────────────────────────────────────┤</w:t>
      </w:r>
    </w:p>
    <w:p w14:paraId="2ADCE7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│                   外部数据源                      │</w:t>
      </w:r>
    </w:p>
    <w:p w14:paraId="0AAF81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│  A股：AKShare/Tushare（免费）                    │</w:t>
      </w:r>
    </w:p>
    <w:p w14:paraId="7BA45A4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│  港股：AKShare港股接口 / Futu API（可选）         │</w:t>
      </w:r>
    </w:p>
    <w:p w14:paraId="7355BA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└─────────────────────────────────────────────────┘</w:t>
      </w:r>
    </w:p>
    <w:p w14:paraId="5CFBC0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</w:rPr>
      </w:pPr>
      <w:r>
        <w:rPr>
          <w:rStyle w:val="9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技术栈选型理由：</w:t>
      </w:r>
    </w:p>
    <w:tbl>
      <w:tblPr>
        <w:tblW w:w="12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80"/>
        <w:gridCol w:w="5361"/>
        <w:gridCol w:w="5059"/>
      </w:tblGrid>
      <w:tr w14:paraId="50DA6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92D6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组件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28E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选型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18B4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原因</w:t>
            </w:r>
          </w:p>
        </w:tc>
      </w:tr>
      <w:tr w14:paraId="0E85D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8357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前端/界面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929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Style w:val="9"/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Streamlit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650C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零前端基础也能快速搭好看板，AI全权负责</w:t>
            </w:r>
          </w:p>
        </w:tc>
      </w:tr>
      <w:tr w14:paraId="08397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55E4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数据获取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4F5F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Style w:val="9"/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AKShare + Tushare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1E5E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免费、A股覆盖全、Python原生</w:t>
            </w:r>
          </w:p>
        </w:tc>
      </w:tr>
      <w:tr w14:paraId="4F7AD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02FC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2013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Style w:val="9"/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SQLite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AE5C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本地零配置，数据量万级完全够用</w:t>
            </w:r>
          </w:p>
        </w:tc>
      </w:tr>
      <w:tr w14:paraId="26359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A256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AI对话/分析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03C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Style w:val="9"/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青莲（我）直接嵌入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3D0E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看板中接入AI分析模块</w:t>
            </w:r>
          </w:p>
        </w:tc>
      </w:tr>
      <w:tr w14:paraId="3C475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DDF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港股数据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E7CE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Style w:val="9"/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AKShare港股接口</w:t>
            </w: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（起步）/ </w:t>
            </w:r>
            <w:r>
              <w:rPr>
                <w:rStyle w:val="9"/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Futu API</w:t>
            </w: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（后续）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A49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先用免费方案验证</w:t>
            </w:r>
          </w:p>
        </w:tc>
      </w:tr>
    </w:tbl>
    <w:p w14:paraId="465C09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7" o:spt="1" style="height:1.5pt;width:432pt;" fillcolor="#3B3B3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F20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三、7个板块的分期规划</w:t>
      </w:r>
    </w:p>
    <w:p w14:paraId="09E0C7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整体分三期实现：</w:t>
      </w:r>
    </w:p>
    <w:p w14:paraId="70E7CF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🔵 第一期（核心桩脚，打地基）</w:t>
      </w:r>
    </w:p>
    <w:p w14:paraId="618B68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Style w:val="9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目标：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 把数据底座和展示框架搭起来，让你先跑起来看到效果</w:t>
      </w:r>
    </w:p>
    <w:tbl>
      <w:tblPr>
        <w:tblW w:w="12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87"/>
        <w:gridCol w:w="6297"/>
        <w:gridCol w:w="3316"/>
      </w:tblGrid>
      <w:tr w14:paraId="40DA0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1D24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板块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6CF5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内容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FA2F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36A50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280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板块1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FD8C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宏观/行业数据看板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8E7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⭐⭐⭐</w:t>
            </w:r>
          </w:p>
        </w:tc>
      </w:tr>
      <w:tr w14:paraId="2675F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C2CF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板块2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25A0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标的初筛与打分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9297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⭐⭐⭐</w:t>
            </w:r>
          </w:p>
        </w:tc>
      </w:tr>
    </w:tbl>
    <w:p w14:paraId="58BC49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</w:rPr>
      </w:pPr>
      <w:r>
        <w:rPr>
          <w:rStyle w:val="9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交付物：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 本地Web看板主页 + 宏观指标展示 + 候选股池列表</w:t>
      </w:r>
    </w:p>
    <w:p w14:paraId="3EEB37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</w:rPr>
        <w:pict>
          <v:rect id="_x0000_i1028" o:spt="1" style="height:1.5pt;width:432pt;" fillcolor="#3B3B3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7B55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🟡 第二期（深度分析，核心价值）</w:t>
      </w:r>
    </w:p>
    <w:p w14:paraId="70E177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Style w:val="9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目标：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 从"看数据"升级到"做分析"</w:t>
      </w:r>
    </w:p>
    <w:tbl>
      <w:tblPr>
        <w:tblW w:w="12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8"/>
        <w:gridCol w:w="6891"/>
        <w:gridCol w:w="2971"/>
      </w:tblGrid>
      <w:tr w14:paraId="4B07B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F9EF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板块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B2CA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内容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3F8D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1026A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F76D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板块3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EDBD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公司基本面分析辅助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11E8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⭐⭐⭐</w:t>
            </w:r>
          </w:p>
        </w:tc>
      </w:tr>
      <w:tr w14:paraId="73099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2B02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板块4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62ED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事件驱动监控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EE46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⭐⭐</w:t>
            </w:r>
          </w:p>
        </w:tc>
      </w:tr>
      <w:tr w14:paraId="0AC38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67F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板块5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BBE5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研究报告/投研材料生成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10E7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⭐⭐</w:t>
            </w:r>
          </w:p>
        </w:tc>
      </w:tr>
    </w:tbl>
    <w:p w14:paraId="1F9DA9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</w:rPr>
      </w:pPr>
      <w:r>
        <w:rPr>
          <w:rStyle w:val="9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交付物：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 分析卡片、事件提醒、AI生成研究报告初稿</w:t>
      </w:r>
    </w:p>
    <w:p w14:paraId="1D9714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</w:rPr>
        <w:pict>
          <v:rect id="_x0000_i1029" o:spt="1" style="height:1.5pt;width:432pt;" fillcolor="#3B3B3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4B8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🟢 第三期（闭环收口，风控合规）</w:t>
      </w:r>
    </w:p>
    <w:p w14:paraId="0E6A51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</w:pPr>
      <w:r>
        <w:rPr>
          <w:rStyle w:val="9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目标：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 形成完整的投研→交易闭环</w:t>
      </w:r>
    </w:p>
    <w:tbl>
      <w:tblPr>
        <w:tblW w:w="12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58"/>
        <w:gridCol w:w="6921"/>
        <w:gridCol w:w="2621"/>
      </w:tblGrid>
      <w:tr w14:paraId="20C4C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E06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板块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7AA3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内容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B791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1F720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6AD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板块6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9416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组合与风控流程检查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160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⭐⭐</w:t>
            </w:r>
          </w:p>
        </w:tc>
      </w:tr>
      <w:tr w14:paraId="3ACDE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82C3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板块7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6A16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交易前合规检查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D7E1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⭐⭐</w:t>
            </w:r>
          </w:p>
        </w:tc>
      </w:tr>
    </w:tbl>
    <w:p w14:paraId="212A2B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</w:rPr>
      </w:pPr>
      <w:r>
        <w:rPr>
          <w:rStyle w:val="9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交付物：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 仓位风控看板、合规检查清单</w:t>
      </w:r>
    </w:p>
    <w:p w14:paraId="669AFF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</w:rPr>
        <w:pict>
          <v:rect id="_x0000_i1030" o:spt="1" style="height:1.5pt;width:432pt;" fillcolor="#3B3B3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9BF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四、数据源规划（从零起步）</w:t>
      </w:r>
    </w:p>
    <w:tbl>
      <w:tblPr>
        <w:tblW w:w="12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464"/>
        <w:gridCol w:w="4050"/>
        <w:gridCol w:w="3486"/>
      </w:tblGrid>
      <w:tr w14:paraId="2B8A3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9A2B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EDBD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起步方案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17E5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后续升级</w:t>
            </w:r>
          </w:p>
        </w:tc>
      </w:tr>
      <w:tr w14:paraId="3A9F7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161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A股行情/财务数据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FF1E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AKShare（免费）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95BC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可升级Tushare Pro</w:t>
            </w:r>
          </w:p>
        </w:tc>
      </w:tr>
      <w:tr w14:paraId="1D7AE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B643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港股行情/财务数据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E844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AKShare港股接口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BF04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Futu API（收费）</w:t>
            </w:r>
          </w:p>
        </w:tc>
      </w:tr>
      <w:tr w14:paraId="1A561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DE3F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宏观指标（GDP/CPI等）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3AAA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AKShare宏观数据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EB7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手动补充</w:t>
            </w:r>
          </w:p>
        </w:tc>
      </w:tr>
      <w:tr w14:paraId="554FB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25C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行业景气度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140D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AKShare行业数据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169F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研报补充</w:t>
            </w:r>
          </w:p>
        </w:tc>
      </w:tr>
      <w:tr w14:paraId="336DF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C20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公告/新闻事件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0ECF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AKShare财经新闻接口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98C9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升级专业数据源</w:t>
            </w:r>
          </w:p>
        </w:tc>
      </w:tr>
      <w:tr w14:paraId="04929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326E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财报原始数据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8C0A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AKShare财报接口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A13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sz w:val="19"/>
                <w:szCs w:val="19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color w:val="3B3B3B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可接入Wind</w:t>
            </w:r>
          </w:p>
        </w:tc>
      </w:tr>
    </w:tbl>
    <w:p w14:paraId="4368B2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B3B3B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1" o:spt="1" style="height:1.5pt;width:432pt;" fillcolor="#3B3B3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5216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B3B3B"/>
          <w:spacing w:val="0"/>
          <w:sz w:val="19"/>
          <w:szCs w:val="19"/>
          <w:bdr w:val="none" w:color="auto" w:sz="0" w:space="0"/>
          <w:shd w:val="clear" w:fill="FFFFFF"/>
        </w:rPr>
        <w:t>五、项目结构（文件组织）</w:t>
      </w:r>
    </w:p>
    <w:p w14:paraId="6CA565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invest_raptor/          ← 项目根目录</w:t>
      </w:r>
    </w:p>
    <w:p w14:paraId="6ACFF5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├── app.py              ← Streamlit主程序入口</w:t>
      </w:r>
    </w:p>
    <w:p w14:paraId="4B2D86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├── data/               ← 本地数据库存放</w:t>
      </w:r>
    </w:p>
    <w:p w14:paraId="64E2BF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│   └── invest.db       ← SQLite数据库</w:t>
      </w:r>
    </w:p>
    <w:p w14:paraId="3A8E73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├── modules/            ← 各板块模块</w:t>
      </w:r>
    </w:p>
    <w:p w14:paraId="02DB55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│   ├── 01_macro.py     ← 宏观看板</w:t>
      </w:r>
    </w:p>
    <w:p w14:paraId="34A34E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│   ├── 02_screen.py    ← 标的筛选</w:t>
      </w:r>
    </w:p>
    <w:p w14:paraId="01A0E4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│   ├── 03_financial.py ← 基本面分析</w:t>
      </w:r>
    </w:p>
    <w:p w14:paraId="2E81EC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│   ├── 04_events.py    ← 事件监控</w:t>
      </w:r>
    </w:p>
    <w:p w14:paraId="00CF08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│   ├── 05_reports.py   ← 报告生成</w:t>
      </w:r>
    </w:p>
    <w:p w14:paraId="630850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│   ├── 06_risk.py      ← 风控看板</w:t>
      </w:r>
    </w:p>
    <w:p w14:paraId="6A9D82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│   └── 07_compliance.py← 合规检查</w:t>
      </w:r>
    </w:p>
    <w:p w14:paraId="053E35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├── utils/              ← 工具函数</w:t>
      </w:r>
    </w:p>
    <w:p w14:paraId="52D592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│   ├── data_loader.py  ← 数据获取封装</w:t>
      </w:r>
    </w:p>
    <w:p w14:paraId="0C7D47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│   └── db.py           ← 数据库操作</w:t>
      </w:r>
    </w:p>
    <w:p w14:paraId="11183E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0"/>
          <w:i w:val="0"/>
          <w:iCs w:val="0"/>
          <w:caps w:val="0"/>
          <w:color w:val="3B3B3B"/>
          <w:spacing w:val="0"/>
          <w:bdr w:val="none" w:color="auto" w:sz="0" w:space="0"/>
          <w:shd w:val="clear" w:fill="FFFFFF"/>
        </w:rPr>
        <w:t>└── requirements.txt    ← 依赖列表</w:t>
      </w:r>
    </w:p>
    <w:p w14:paraId="77AC40F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A70E8A"/>
    <w:multiLevelType w:val="multilevel"/>
    <w:tmpl w:val="7BA70E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4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2026-04-08T13:01:32Z</dcterms:created>
  <dc:creator>Administrator</dc:creator>
  <cp:lastModifiedBy>张仁政</cp:lastModifiedBy>
  <dcterms:modified xsi:type="dcterms:W3CDTF">2026-04-08T13:02:12Z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eyJoZGlkIjoiNDdhZTg5NjZiZjZhYjFkMjNjZmRmYTU0NGRiYThiMjAiLCJ1c2VySWQiOiIyMzc4NTY4NDAifQ==</vt:lpwstr>
  </property>
  <property fmtid="{D5CDD505-2E9C-101B-9397-08002B2CF9AE}" pid="4" name="ICV">
    <vt:lpwstr>7C7A89AC23F840C4B9477BCCFCE176AD_12</vt:lpwstr>
  </property>
</Properties>
</file>