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4389A">
      <w:pPr>
        <w:pStyle w:val="3"/>
        <w:jc w:val="center"/>
        <w:rPr>
          <w:rFonts w:ascii="楷体" w:hAnsi="楷体" w:eastAsia="楷体"/>
        </w:rPr>
      </w:pPr>
      <w:bookmarkStart w:id="0" w:name="_Toc103586384"/>
      <w:r>
        <w:rPr>
          <w:rFonts w:hint="eastAsia" w:ascii="楷体" w:hAnsi="楷体" w:eastAsia="楷体"/>
        </w:rPr>
        <w:t>XX公司访谈纪要</w:t>
      </w:r>
    </w:p>
    <w:p w14:paraId="6B6C3ED0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访谈对象：</w:t>
      </w:r>
      <w:bookmarkEnd w:id="0"/>
    </w:p>
    <w:p w14:paraId="32B2ADB8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时间：</w:t>
      </w:r>
    </w:p>
    <w:p w14:paraId="0BBF44F0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地点：</w:t>
      </w:r>
    </w:p>
    <w:p w14:paraId="5F45535E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人员：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412"/>
        <w:gridCol w:w="8510"/>
      </w:tblGrid>
      <w:tr w14:paraId="0E5CCF17">
        <w:tc>
          <w:tcPr>
            <w:tcW w:w="426" w:type="dxa"/>
            <w:vMerge w:val="restart"/>
          </w:tcPr>
          <w:p w14:paraId="3563211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1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行业</w:t>
            </w:r>
          </w:p>
        </w:tc>
        <w:tc>
          <w:tcPr>
            <w:tcW w:w="1412" w:type="dxa"/>
          </w:tcPr>
          <w:p w14:paraId="36FA07B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主营业务</w:t>
            </w:r>
          </w:p>
        </w:tc>
        <w:tc>
          <w:tcPr>
            <w:tcW w:w="8510" w:type="dxa"/>
          </w:tcPr>
          <w:p w14:paraId="3107ABF6">
            <w:pPr>
              <w:rPr>
                <w:rFonts w:ascii="楷体" w:hAnsi="楷体" w:eastAsia="楷体"/>
                <w:szCs w:val="21"/>
              </w:rPr>
            </w:pPr>
          </w:p>
        </w:tc>
      </w:tr>
      <w:tr w14:paraId="3E4CF619">
        <w:tc>
          <w:tcPr>
            <w:tcW w:w="426" w:type="dxa"/>
            <w:vMerge w:val="continue"/>
          </w:tcPr>
          <w:p w14:paraId="307106A3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7B18561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市场痛点&amp;市场规模</w:t>
            </w:r>
          </w:p>
        </w:tc>
        <w:tc>
          <w:tcPr>
            <w:tcW w:w="8510" w:type="dxa"/>
          </w:tcPr>
          <w:p w14:paraId="6FAC412B">
            <w:pPr>
              <w:rPr>
                <w:rFonts w:ascii="楷体" w:hAnsi="楷体" w:eastAsia="楷体"/>
                <w:szCs w:val="21"/>
              </w:rPr>
            </w:pPr>
          </w:p>
        </w:tc>
      </w:tr>
      <w:tr w14:paraId="17BE96EA">
        <w:tc>
          <w:tcPr>
            <w:tcW w:w="426" w:type="dxa"/>
            <w:vMerge w:val="continue"/>
          </w:tcPr>
          <w:p w14:paraId="19816D37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54791E1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竞争格局及发展趋势</w:t>
            </w:r>
          </w:p>
        </w:tc>
        <w:tc>
          <w:tcPr>
            <w:tcW w:w="8510" w:type="dxa"/>
          </w:tcPr>
          <w:p w14:paraId="75B40F5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241DECF7">
        <w:tc>
          <w:tcPr>
            <w:tcW w:w="426" w:type="dxa"/>
            <w:vMerge w:val="continue"/>
          </w:tcPr>
          <w:p w14:paraId="05B05BF7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9C4B4BF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公司竞争优劣势</w:t>
            </w:r>
          </w:p>
        </w:tc>
        <w:tc>
          <w:tcPr>
            <w:tcW w:w="8510" w:type="dxa"/>
          </w:tcPr>
          <w:p w14:paraId="6A56EF0E">
            <w:pPr>
              <w:rPr>
                <w:rFonts w:ascii="楷体" w:hAnsi="楷体" w:eastAsia="楷体"/>
                <w:szCs w:val="21"/>
              </w:rPr>
            </w:pPr>
          </w:p>
        </w:tc>
      </w:tr>
      <w:tr w14:paraId="00BB8F70">
        <w:tc>
          <w:tcPr>
            <w:tcW w:w="426" w:type="dxa"/>
            <w:vMerge w:val="restart"/>
          </w:tcPr>
          <w:p w14:paraId="2B188364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2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团队</w:t>
            </w:r>
          </w:p>
        </w:tc>
        <w:tc>
          <w:tcPr>
            <w:tcW w:w="1412" w:type="dxa"/>
          </w:tcPr>
          <w:p w14:paraId="66756DF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实控人履历和创业背景</w:t>
            </w:r>
          </w:p>
        </w:tc>
        <w:tc>
          <w:tcPr>
            <w:tcW w:w="8510" w:type="dxa"/>
          </w:tcPr>
          <w:p w14:paraId="42097AD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CF0AF5B">
        <w:tc>
          <w:tcPr>
            <w:tcW w:w="426" w:type="dxa"/>
            <w:vMerge w:val="continue"/>
          </w:tcPr>
          <w:p w14:paraId="367A67AC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0E7FCDE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管理层其他人员情况</w:t>
            </w:r>
          </w:p>
        </w:tc>
        <w:tc>
          <w:tcPr>
            <w:tcW w:w="8510" w:type="dxa"/>
          </w:tcPr>
          <w:p w14:paraId="2EDC8540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C47B23A">
        <w:tc>
          <w:tcPr>
            <w:tcW w:w="426" w:type="dxa"/>
            <w:vMerge w:val="continue"/>
          </w:tcPr>
          <w:p w14:paraId="18841E5D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F8D8345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员工构成</w:t>
            </w:r>
          </w:p>
        </w:tc>
        <w:tc>
          <w:tcPr>
            <w:tcW w:w="8510" w:type="dxa"/>
          </w:tcPr>
          <w:p w14:paraId="12F1AB5C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D7ED36E">
        <w:tc>
          <w:tcPr>
            <w:tcW w:w="426" w:type="dxa"/>
            <w:vMerge w:val="continue"/>
          </w:tcPr>
          <w:p w14:paraId="458D31B0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4B805E0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股权结构</w:t>
            </w:r>
          </w:p>
        </w:tc>
        <w:tc>
          <w:tcPr>
            <w:tcW w:w="8510" w:type="dxa"/>
          </w:tcPr>
          <w:p w14:paraId="32C65385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8C21B96">
        <w:tc>
          <w:tcPr>
            <w:tcW w:w="426" w:type="dxa"/>
            <w:vMerge w:val="continue"/>
          </w:tcPr>
          <w:p w14:paraId="0D65F482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B61C6C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公司战略目标</w:t>
            </w:r>
          </w:p>
        </w:tc>
        <w:tc>
          <w:tcPr>
            <w:tcW w:w="8510" w:type="dxa"/>
          </w:tcPr>
          <w:p w14:paraId="111409A1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B532A01">
        <w:tc>
          <w:tcPr>
            <w:tcW w:w="426" w:type="dxa"/>
            <w:vMerge w:val="restart"/>
          </w:tcPr>
          <w:p w14:paraId="0582130F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3</w:t>
            </w:r>
            <w:r>
              <w:rPr>
                <w:rFonts w:ascii="楷体" w:hAnsi="楷体" w:eastAsia="楷体"/>
                <w:szCs w:val="21"/>
              </w:rPr>
              <w:t>.</w:t>
            </w:r>
          </w:p>
          <w:p w14:paraId="6A21CFB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产品</w:t>
            </w:r>
          </w:p>
          <w:p w14:paraId="2E2B3C5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业务</w:t>
            </w:r>
          </w:p>
        </w:tc>
        <w:tc>
          <w:tcPr>
            <w:tcW w:w="1412" w:type="dxa"/>
          </w:tcPr>
          <w:p w14:paraId="4BB75FD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业务构成&amp;市场策略</w:t>
            </w:r>
          </w:p>
        </w:tc>
        <w:tc>
          <w:tcPr>
            <w:tcW w:w="8510" w:type="dxa"/>
          </w:tcPr>
          <w:p w14:paraId="54E409A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3E2D21AD">
        <w:tc>
          <w:tcPr>
            <w:tcW w:w="426" w:type="dxa"/>
            <w:vMerge w:val="continue"/>
          </w:tcPr>
          <w:p w14:paraId="3D142035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482472A9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技术原理及发展趋势</w:t>
            </w:r>
          </w:p>
        </w:tc>
        <w:tc>
          <w:tcPr>
            <w:tcW w:w="8510" w:type="dxa"/>
          </w:tcPr>
          <w:p w14:paraId="394F9C54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23FB5F8">
        <w:tc>
          <w:tcPr>
            <w:tcW w:w="426" w:type="dxa"/>
            <w:vMerge w:val="continue"/>
          </w:tcPr>
          <w:p w14:paraId="507F3623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3B4CCB62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产品研发规划</w:t>
            </w:r>
          </w:p>
        </w:tc>
        <w:tc>
          <w:tcPr>
            <w:tcW w:w="8510" w:type="dxa"/>
          </w:tcPr>
          <w:p w14:paraId="0C23534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2F2E70D">
        <w:tc>
          <w:tcPr>
            <w:tcW w:w="426" w:type="dxa"/>
            <w:vMerge w:val="continue"/>
          </w:tcPr>
          <w:p w14:paraId="2134D4BF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02D25B36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产能情况</w:t>
            </w:r>
          </w:p>
        </w:tc>
        <w:tc>
          <w:tcPr>
            <w:tcW w:w="8510" w:type="dxa"/>
          </w:tcPr>
          <w:p w14:paraId="5B01E674">
            <w:pPr>
              <w:rPr>
                <w:rFonts w:ascii="楷体" w:hAnsi="楷体" w:eastAsia="楷体"/>
                <w:szCs w:val="21"/>
              </w:rPr>
            </w:pPr>
          </w:p>
        </w:tc>
      </w:tr>
      <w:tr w14:paraId="6B53E1B8">
        <w:tc>
          <w:tcPr>
            <w:tcW w:w="426" w:type="dxa"/>
            <w:vMerge w:val="continue"/>
          </w:tcPr>
          <w:p w14:paraId="24813E7E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0D473DC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供应链</w:t>
            </w:r>
            <w:r>
              <w:rPr>
                <w:rFonts w:ascii="楷体" w:hAnsi="楷体" w:eastAsia="楷体"/>
                <w:szCs w:val="21"/>
              </w:rPr>
              <w:t>&amp;</w:t>
            </w:r>
            <w:r>
              <w:rPr>
                <w:rFonts w:hint="eastAsia" w:ascii="楷体" w:hAnsi="楷体" w:eastAsia="楷体"/>
                <w:szCs w:val="21"/>
              </w:rPr>
              <w:t>客户情况</w:t>
            </w:r>
          </w:p>
        </w:tc>
        <w:tc>
          <w:tcPr>
            <w:tcW w:w="8510" w:type="dxa"/>
          </w:tcPr>
          <w:p w14:paraId="011A5C4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42616E0">
        <w:tc>
          <w:tcPr>
            <w:tcW w:w="426" w:type="dxa"/>
            <w:vMerge w:val="restart"/>
          </w:tcPr>
          <w:p w14:paraId="5A4EE5B4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4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财务及融资</w:t>
            </w:r>
          </w:p>
        </w:tc>
        <w:tc>
          <w:tcPr>
            <w:tcW w:w="1412" w:type="dxa"/>
          </w:tcPr>
          <w:p w14:paraId="1FCF12D8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历史收入以及收入预测</w:t>
            </w:r>
          </w:p>
        </w:tc>
        <w:tc>
          <w:tcPr>
            <w:tcW w:w="8510" w:type="dxa"/>
          </w:tcPr>
          <w:p w14:paraId="6612A3E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各行业的收入占比</w:t>
            </w:r>
          </w:p>
        </w:tc>
      </w:tr>
      <w:tr w14:paraId="392FD74C">
        <w:tc>
          <w:tcPr>
            <w:tcW w:w="426" w:type="dxa"/>
            <w:vMerge w:val="continue"/>
          </w:tcPr>
          <w:p w14:paraId="073D2D59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10167A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毛利率&amp;净利率水平</w:t>
            </w:r>
          </w:p>
        </w:tc>
        <w:tc>
          <w:tcPr>
            <w:tcW w:w="8510" w:type="dxa"/>
          </w:tcPr>
          <w:p w14:paraId="3DF3487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0589888C">
        <w:tc>
          <w:tcPr>
            <w:tcW w:w="426" w:type="dxa"/>
            <w:vMerge w:val="continue"/>
          </w:tcPr>
          <w:p w14:paraId="0A06118B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25DBA936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上轮融资情况</w:t>
            </w:r>
          </w:p>
        </w:tc>
        <w:tc>
          <w:tcPr>
            <w:tcW w:w="8510" w:type="dxa"/>
          </w:tcPr>
          <w:p w14:paraId="76F73A6E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6F52C50">
        <w:tc>
          <w:tcPr>
            <w:tcW w:w="426" w:type="dxa"/>
            <w:vMerge w:val="continue"/>
          </w:tcPr>
          <w:p w14:paraId="08481CA2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17F280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本轮融资计划</w:t>
            </w:r>
          </w:p>
        </w:tc>
        <w:tc>
          <w:tcPr>
            <w:tcW w:w="8510" w:type="dxa"/>
          </w:tcPr>
          <w:p w14:paraId="1630533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6086BF39">
        <w:tc>
          <w:tcPr>
            <w:tcW w:w="426" w:type="dxa"/>
            <w:vMerge w:val="continue"/>
          </w:tcPr>
          <w:p w14:paraId="3DA735DA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2C9C895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上市规划&amp;中介机构</w:t>
            </w:r>
          </w:p>
        </w:tc>
        <w:tc>
          <w:tcPr>
            <w:tcW w:w="8510" w:type="dxa"/>
          </w:tcPr>
          <w:p w14:paraId="2220D48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业绩对赌</w:t>
            </w:r>
          </w:p>
        </w:tc>
      </w:tr>
      <w:tr w14:paraId="58E34A00">
        <w:trPr>
          <w:trHeight w:val="251" w:hRule="atLeast"/>
        </w:trPr>
        <w:tc>
          <w:tcPr>
            <w:tcW w:w="426" w:type="dxa"/>
          </w:tcPr>
          <w:p w14:paraId="16B1CFE8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5</w:t>
            </w:r>
            <w:r>
              <w:rPr>
                <w:rFonts w:ascii="楷体" w:hAnsi="楷体" w:eastAsia="楷体"/>
                <w:szCs w:val="21"/>
              </w:rPr>
              <w:t>.</w:t>
            </w:r>
          </w:p>
        </w:tc>
        <w:tc>
          <w:tcPr>
            <w:tcW w:w="1412" w:type="dxa"/>
          </w:tcPr>
          <w:p w14:paraId="3E81BEC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主要风险</w:t>
            </w:r>
          </w:p>
        </w:tc>
        <w:tc>
          <w:tcPr>
            <w:tcW w:w="8510" w:type="dxa"/>
          </w:tcPr>
          <w:p w14:paraId="1280239F">
            <w:pPr>
              <w:rPr>
                <w:rFonts w:ascii="楷体" w:hAnsi="楷体" w:eastAsia="楷体"/>
                <w:szCs w:val="21"/>
              </w:rPr>
            </w:pPr>
          </w:p>
        </w:tc>
      </w:tr>
    </w:tbl>
    <w:p w14:paraId="49514AA0">
      <w:pPr>
        <w:rPr>
          <w:rFonts w:ascii="楷体" w:hAnsi="楷体" w:eastAsia="楷体"/>
          <w:szCs w:val="21"/>
        </w:rPr>
      </w:pPr>
    </w:p>
    <w:p w14:paraId="7E9896B7">
      <w:pPr>
        <w:widowControl/>
        <w:jc w:val="left"/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br w:type="page"/>
      </w:r>
    </w:p>
    <w:p w14:paraId="4C7E9F4A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 项目访谈纪要整理 Prompt（投资经理专用）</w:t>
      </w:r>
    </w:p>
    <w:p w14:paraId="30B1B3A6">
      <w:pPr>
        <w:rPr>
          <w:rFonts w:ascii="楷体" w:hAnsi="楷体" w:eastAsia="楷体"/>
          <w:szCs w:val="21"/>
        </w:rPr>
      </w:pPr>
    </w:p>
    <w:p w14:paraId="2C45B202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 角色设定</w:t>
      </w:r>
    </w:p>
    <w:p w14:paraId="08CAD43E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你是一名专业的投资经理助理，负责整理</w:t>
      </w:r>
      <w:bookmarkStart w:id="1" w:name="_GoBack"/>
      <w:r>
        <w:rPr>
          <w:rFonts w:ascii="楷体" w:hAnsi="楷体" w:eastAsia="楷体"/>
          <w:szCs w:val="21"/>
        </w:rPr>
        <w:t>项目公司访谈的原始对话记录</w:t>
      </w:r>
      <w:bookmarkEnd w:id="1"/>
      <w:r>
        <w:rPr>
          <w:rFonts w:ascii="楷体" w:hAnsi="楷体" w:eastAsia="楷体"/>
          <w:szCs w:val="21"/>
        </w:rPr>
        <w:t>。纪要需服务于投资决策，重点在于完整提取业务相关信息，并便于后续查阅和人工复核。</w:t>
      </w:r>
    </w:p>
    <w:p w14:paraId="683CF602">
      <w:pPr>
        <w:rPr>
          <w:rFonts w:ascii="楷体" w:hAnsi="楷体" w:eastAsia="楷体"/>
          <w:szCs w:val="21"/>
        </w:rPr>
      </w:pPr>
    </w:p>
    <w:p w14:paraId="05B6A05E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 输入材料</w:t>
      </w:r>
    </w:p>
    <w:p w14:paraId="4A32F05E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一段或多段对话录音转文字（可能包含多位讲话人，口语化，话题跳跃）。</w:t>
      </w:r>
    </w:p>
    <w:p w14:paraId="1F3C2529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内容涉及：产品、技术、市场、客户、订单、财务数据、融资计划、估值、竞争格局、上市规划等。</w:t>
      </w:r>
    </w:p>
    <w:p w14:paraId="616A55A8">
      <w:pPr>
        <w:rPr>
          <w:rFonts w:ascii="楷体" w:hAnsi="楷体" w:eastAsia="楷体"/>
          <w:szCs w:val="21"/>
        </w:rPr>
      </w:pPr>
    </w:p>
    <w:p w14:paraId="4764FDF9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 整理要求</w:t>
      </w:r>
    </w:p>
    <w:p w14:paraId="08702189">
      <w:pPr>
        <w:rPr>
          <w:rFonts w:ascii="楷体" w:hAnsi="楷体" w:eastAsia="楷体"/>
          <w:szCs w:val="21"/>
        </w:rPr>
      </w:pPr>
    </w:p>
    <w:p w14:paraId="50C343B5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1. 完整性</w:t>
      </w:r>
    </w:p>
    <w:p w14:paraId="6E0966C5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不遗漏任何与公司业务、财务、市场、技术、运营、融资、竞争、风险相关的信息点。</w:t>
      </w:r>
    </w:p>
    <w:p w14:paraId="79B8829B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对于数字、日期、客户名称、产品名称、技术路线、竞争对比等关键信息必须保留。</w:t>
      </w:r>
    </w:p>
    <w:p w14:paraId="36777BDB">
      <w:pPr>
        <w:rPr>
          <w:rFonts w:ascii="楷体" w:hAnsi="楷体" w:eastAsia="楷体"/>
          <w:szCs w:val="21"/>
        </w:rPr>
      </w:pPr>
    </w:p>
    <w:p w14:paraId="20D74AAA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2. 组织形式</w:t>
      </w:r>
    </w:p>
    <w:p w14:paraId="7E5827E2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**按时间顺序**：以对话自然发生的先后顺序排列主题，便于还原现场逻辑。</w:t>
      </w:r>
    </w:p>
    <w:p w14:paraId="16FEF7EC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**主题 + 内容**：每个主题单独一段，主题简明扼要，内容为完整叙述。</w:t>
      </w:r>
    </w:p>
    <w:p w14:paraId="4E79E516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**合并补充信息**：如果一个主题在对话后期再次出现补充内容，将该补充内容归入该主题首次出现的位置，不另立新主题。</w:t>
      </w:r>
    </w:p>
    <w:p w14:paraId="35565A5B">
      <w:pPr>
        <w:rPr>
          <w:rFonts w:ascii="楷体" w:hAnsi="楷体" w:eastAsia="楷体"/>
          <w:szCs w:val="21"/>
        </w:rPr>
      </w:pPr>
    </w:p>
    <w:p w14:paraId="4CD514F9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3. 时间戳添加</w:t>
      </w:r>
    </w:p>
    <w:p w14:paraId="25926BFA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- **每个主题标题旁**，用括号标注该主题在原始对话中**首次出现的起始时间**（例如 `### 主题：公司定位与产品（首次出现 00:00:19）`）。 </w:t>
      </w:r>
    </w:p>
    <w:p w14:paraId="7D450F49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**每个“（后文补充）”后面**，如果已有时间戳，请核实是否正确；如果没有，则补充正确的时间戳。格式保持 `（后文补充 00:XX:XX）`。</w:t>
      </w:r>
    </w:p>
    <w:p w14:paraId="5D686FEF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若无法确定某个主题/补充的准确时间，请标注 `（时间待核查）` 并尽量给出最可能的时间区间。</w:t>
      </w:r>
    </w:p>
    <w:p w14:paraId="0A9B0CCD">
      <w:pPr>
        <w:rPr>
          <w:rFonts w:ascii="楷体" w:hAnsi="楷体" w:eastAsia="楷体"/>
          <w:szCs w:val="21"/>
        </w:rPr>
      </w:pPr>
    </w:p>
    <w:p w14:paraId="7946DA4D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4. 处理原则</w:t>
      </w:r>
    </w:p>
    <w:p w14:paraId="2E31C744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同一信息点若在多个地方重复，只保留一次（合并到最早出现处）。</w:t>
      </w:r>
    </w:p>
    <w:p w14:paraId="46B648F4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不同讲话人对同一事项的不同观点或补充，均纳入该主题下，可标注不同讲话人（如“A总补充：”“B总另认为：”）。</w:t>
      </w:r>
    </w:p>
    <w:p w14:paraId="5A199CE5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明显与业务无关的寒暄、重复、语气词可省略。</w:t>
      </w:r>
    </w:p>
    <w:p w14:paraId="23A4D862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保持客观，不添加主观评价或结论。</w:t>
      </w:r>
    </w:p>
    <w:p w14:paraId="060DDD41">
      <w:pPr>
        <w:rPr>
          <w:rFonts w:ascii="楷体" w:hAnsi="楷体" w:eastAsia="楷体"/>
          <w:szCs w:val="21"/>
        </w:rPr>
      </w:pPr>
    </w:p>
    <w:p w14:paraId="5CEDBC30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5. 输出格式</w:t>
      </w:r>
    </w:p>
    <w:p w14:paraId="27595268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每个主题以“### 主题：XXX”开头。</w:t>
      </w:r>
    </w:p>
    <w:p w14:paraId="28BB38DF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内容用自然段落描述，按时间或逻辑顺序组织。</w:t>
      </w:r>
    </w:p>
    <w:p w14:paraId="31819BBA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如某主题内信息存在先后补充，可使用“（后文补充）：”或按时间自然过渡。</w:t>
      </w:r>
    </w:p>
    <w:p w14:paraId="54400ACE">
      <w:pPr>
        <w:rPr>
          <w:rFonts w:ascii="楷体" w:hAnsi="楷体" w:eastAsia="楷体"/>
          <w:szCs w:val="21"/>
        </w:rPr>
      </w:pPr>
    </w:p>
    <w:p w14:paraId="37EB71AE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 示例输出格式</w:t>
      </w:r>
    </w:p>
    <w:p w14:paraId="5E74E8D1">
      <w:pPr>
        <w:rPr>
          <w:rFonts w:ascii="楷体" w:hAnsi="楷体" w:eastAsia="楷体"/>
          <w:szCs w:val="21"/>
        </w:rPr>
      </w:pPr>
    </w:p>
    <w:p w14:paraId="46147424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主题：产品价格与系统成本（首次出现 00:24:45）</w:t>
      </w:r>
    </w:p>
    <w:p w14:paraId="19B8573B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**内容**：  </w:t>
      </w:r>
    </w:p>
    <w:p w14:paraId="4FF73738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- 原计划锂电池价格较优惠。  </w:t>
      </w:r>
    </w:p>
    <w:p w14:paraId="5A0E2F71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- 一个电池包一度电成本一两千元，导致PACK占比或系统费用高，值得做。  </w:t>
      </w:r>
    </w:p>
    <w:p w14:paraId="6D3EE28E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安全要求高。</w:t>
      </w:r>
    </w:p>
    <w:p w14:paraId="20865FFE">
      <w:pPr>
        <w:rPr>
          <w:rFonts w:ascii="楷体" w:hAnsi="楷体" w:eastAsia="楷体"/>
          <w:szCs w:val="21"/>
        </w:rPr>
      </w:pPr>
    </w:p>
    <w:p w14:paraId="5E1D573B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### 主题：大储市场机会（首次出现 00:35:41）</w:t>
      </w:r>
    </w:p>
    <w:p w14:paraId="26A868F9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**内容**：  </w:t>
      </w:r>
    </w:p>
    <w:p w14:paraId="25CFD992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- （00:01:44起）现有储能约二三百GWh……  </w:t>
      </w:r>
    </w:p>
    <w:p w14:paraId="31DA89F6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 xml:space="preserve">- （后文补充 00:08:00）电芯尺寸：314为200×170mm，587为250×200mm……  </w:t>
      </w:r>
    </w:p>
    <w:p w14:paraId="27EB66A1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（后文补充 00:30:43）海辰生产主要在厦门、重庆……</w:t>
      </w:r>
    </w:p>
    <w:p w14:paraId="0CCCF42D">
      <w:pPr>
        <w:rPr>
          <w:rFonts w:ascii="楷体" w:hAnsi="楷体" w:eastAsia="楷体"/>
          <w:szCs w:val="21"/>
        </w:rPr>
      </w:pPr>
    </w:p>
    <w:p w14:paraId="2DC012FA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## 使用说明</w:t>
      </w:r>
    </w:p>
    <w:p w14:paraId="1ABBBEB3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若对话文本较长，建议分段处理，最后再整体合并检查是否有跨段的主题补充信息。</w:t>
      </w:r>
    </w:p>
    <w:p w14:paraId="7BD63E42">
      <w:pPr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- 整理完成后，建议人工快速复核数字、客户名称、技术路线等关键信息。</w:t>
      </w:r>
    </w:p>
    <w:sectPr>
      <w:footerReference r:id="rId3" w:type="default"/>
      <w:footerReference r:id="rId4" w:type="even"/>
      <w:pgSz w:w="11900" w:h="1684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8"/>
      </w:rPr>
      <w:id w:val="-1"/>
      <w:docPartObj>
        <w:docPartGallery w:val="AutoText"/>
      </w:docPartObj>
    </w:sdtPr>
    <w:sdtEndPr>
      <w:rPr>
        <w:rStyle w:val="18"/>
      </w:rPr>
    </w:sdtEndPr>
    <w:sdtContent>
      <w:p w14:paraId="7142D78D">
        <w:pPr>
          <w:pStyle w:val="9"/>
          <w:framePr w:wrap="auto" w:vAnchor="text" w:hAnchor="margin" w:xAlign="center" w:y="1"/>
          <w:rPr>
            <w:rStyle w:val="18"/>
          </w:rPr>
        </w:pPr>
        <w:r>
          <w:rPr>
            <w:rStyle w:val="18"/>
          </w:rPr>
          <w:fldChar w:fldCharType="begin"/>
        </w:r>
        <w:r>
          <w:rPr>
            <w:rStyle w:val="18"/>
          </w:rPr>
          <w:instrText xml:space="preserve"> PAGE </w:instrText>
        </w:r>
        <w:r>
          <w:rPr>
            <w:rStyle w:val="18"/>
          </w:rPr>
          <w:fldChar w:fldCharType="separate"/>
        </w:r>
        <w:r>
          <w:rPr>
            <w:rStyle w:val="18"/>
          </w:rPr>
          <w:t>1</w:t>
        </w:r>
        <w:r>
          <w:rPr>
            <w:rStyle w:val="18"/>
          </w:rPr>
          <w:fldChar w:fldCharType="end"/>
        </w:r>
      </w:p>
    </w:sdtContent>
  </w:sdt>
  <w:p w14:paraId="2C544378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8"/>
      </w:rPr>
      <w:id w:val="1080564017"/>
      <w:docPartObj>
        <w:docPartGallery w:val="AutoText"/>
      </w:docPartObj>
    </w:sdtPr>
    <w:sdtEndPr>
      <w:rPr>
        <w:rStyle w:val="18"/>
      </w:rPr>
    </w:sdtEndPr>
    <w:sdtContent>
      <w:p w14:paraId="3CF8EBC9">
        <w:pPr>
          <w:pStyle w:val="9"/>
          <w:framePr w:wrap="auto" w:vAnchor="text" w:hAnchor="margin" w:xAlign="center" w:y="1"/>
          <w:rPr>
            <w:rStyle w:val="18"/>
          </w:rPr>
        </w:pPr>
        <w:r>
          <w:rPr>
            <w:rStyle w:val="18"/>
          </w:rPr>
          <w:fldChar w:fldCharType="begin"/>
        </w:r>
        <w:r>
          <w:rPr>
            <w:rStyle w:val="18"/>
          </w:rPr>
          <w:instrText xml:space="preserve"> PAGE </w:instrText>
        </w:r>
        <w:r>
          <w:rPr>
            <w:rStyle w:val="18"/>
          </w:rPr>
          <w:fldChar w:fldCharType="end"/>
        </w:r>
      </w:p>
    </w:sdtContent>
  </w:sdt>
  <w:p w14:paraId="347A4C3F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70"/>
    <w:rsid w:val="000053F9"/>
    <w:rsid w:val="00005EC3"/>
    <w:rsid w:val="0003256C"/>
    <w:rsid w:val="00074DF4"/>
    <w:rsid w:val="000830F7"/>
    <w:rsid w:val="000A067F"/>
    <w:rsid w:val="000C2889"/>
    <w:rsid w:val="00121511"/>
    <w:rsid w:val="001267AD"/>
    <w:rsid w:val="001370D8"/>
    <w:rsid w:val="001419FF"/>
    <w:rsid w:val="001461D8"/>
    <w:rsid w:val="001466B1"/>
    <w:rsid w:val="00156573"/>
    <w:rsid w:val="00167828"/>
    <w:rsid w:val="001857DC"/>
    <w:rsid w:val="00190E2C"/>
    <w:rsid w:val="001B0C8C"/>
    <w:rsid w:val="001C63DB"/>
    <w:rsid w:val="001D4F56"/>
    <w:rsid w:val="00247442"/>
    <w:rsid w:val="0025023A"/>
    <w:rsid w:val="00275FD6"/>
    <w:rsid w:val="00292320"/>
    <w:rsid w:val="002A01D0"/>
    <w:rsid w:val="002A4EB0"/>
    <w:rsid w:val="002E03F8"/>
    <w:rsid w:val="002E4EAD"/>
    <w:rsid w:val="002F5AC1"/>
    <w:rsid w:val="00310C4F"/>
    <w:rsid w:val="003339C2"/>
    <w:rsid w:val="0033468C"/>
    <w:rsid w:val="00366080"/>
    <w:rsid w:val="0037286E"/>
    <w:rsid w:val="00384797"/>
    <w:rsid w:val="003A1278"/>
    <w:rsid w:val="003C1D4D"/>
    <w:rsid w:val="003C47D7"/>
    <w:rsid w:val="003C48AE"/>
    <w:rsid w:val="003D0109"/>
    <w:rsid w:val="003D3476"/>
    <w:rsid w:val="003D7B63"/>
    <w:rsid w:val="003E1FF3"/>
    <w:rsid w:val="003E254F"/>
    <w:rsid w:val="003F108B"/>
    <w:rsid w:val="0041486F"/>
    <w:rsid w:val="00415BC5"/>
    <w:rsid w:val="00437DD7"/>
    <w:rsid w:val="0044356B"/>
    <w:rsid w:val="00461283"/>
    <w:rsid w:val="00475E92"/>
    <w:rsid w:val="004831BC"/>
    <w:rsid w:val="00486E7D"/>
    <w:rsid w:val="004A12B1"/>
    <w:rsid w:val="004E1341"/>
    <w:rsid w:val="004E3BEF"/>
    <w:rsid w:val="00506894"/>
    <w:rsid w:val="00530210"/>
    <w:rsid w:val="005439EE"/>
    <w:rsid w:val="00552C64"/>
    <w:rsid w:val="00555266"/>
    <w:rsid w:val="00581137"/>
    <w:rsid w:val="0059476D"/>
    <w:rsid w:val="00596BB3"/>
    <w:rsid w:val="00597C05"/>
    <w:rsid w:val="005A1A39"/>
    <w:rsid w:val="005A39DA"/>
    <w:rsid w:val="005B1DBD"/>
    <w:rsid w:val="006073BD"/>
    <w:rsid w:val="00622F9D"/>
    <w:rsid w:val="00626993"/>
    <w:rsid w:val="0068695D"/>
    <w:rsid w:val="00692270"/>
    <w:rsid w:val="006A0AA4"/>
    <w:rsid w:val="006A62BF"/>
    <w:rsid w:val="007352E6"/>
    <w:rsid w:val="00737590"/>
    <w:rsid w:val="007411C8"/>
    <w:rsid w:val="0077253A"/>
    <w:rsid w:val="00793EA6"/>
    <w:rsid w:val="007A11C1"/>
    <w:rsid w:val="007A6113"/>
    <w:rsid w:val="007C2F98"/>
    <w:rsid w:val="007D6B70"/>
    <w:rsid w:val="007F6BF8"/>
    <w:rsid w:val="0080574C"/>
    <w:rsid w:val="008129EE"/>
    <w:rsid w:val="00827602"/>
    <w:rsid w:val="008446A8"/>
    <w:rsid w:val="00876514"/>
    <w:rsid w:val="00891B06"/>
    <w:rsid w:val="008A2039"/>
    <w:rsid w:val="008C582E"/>
    <w:rsid w:val="00902048"/>
    <w:rsid w:val="00912B43"/>
    <w:rsid w:val="009467B9"/>
    <w:rsid w:val="00955860"/>
    <w:rsid w:val="009772DF"/>
    <w:rsid w:val="0098160B"/>
    <w:rsid w:val="00993D4C"/>
    <w:rsid w:val="009A2B7C"/>
    <w:rsid w:val="009A5935"/>
    <w:rsid w:val="009D156A"/>
    <w:rsid w:val="009F0604"/>
    <w:rsid w:val="009F5965"/>
    <w:rsid w:val="00A06A5E"/>
    <w:rsid w:val="00A240A6"/>
    <w:rsid w:val="00A40C31"/>
    <w:rsid w:val="00A56146"/>
    <w:rsid w:val="00A86BE9"/>
    <w:rsid w:val="00AD7B2D"/>
    <w:rsid w:val="00AF64E7"/>
    <w:rsid w:val="00B042C2"/>
    <w:rsid w:val="00B0671C"/>
    <w:rsid w:val="00B171DD"/>
    <w:rsid w:val="00B44FE7"/>
    <w:rsid w:val="00B63C92"/>
    <w:rsid w:val="00B64F48"/>
    <w:rsid w:val="00B6786F"/>
    <w:rsid w:val="00B76E67"/>
    <w:rsid w:val="00B823C1"/>
    <w:rsid w:val="00B870B1"/>
    <w:rsid w:val="00B93870"/>
    <w:rsid w:val="00BC43F2"/>
    <w:rsid w:val="00C31EC6"/>
    <w:rsid w:val="00C41DBC"/>
    <w:rsid w:val="00C620CE"/>
    <w:rsid w:val="00C812CE"/>
    <w:rsid w:val="00C96DCA"/>
    <w:rsid w:val="00CA3B60"/>
    <w:rsid w:val="00CB5DB1"/>
    <w:rsid w:val="00CD5EAC"/>
    <w:rsid w:val="00CE15CB"/>
    <w:rsid w:val="00D21117"/>
    <w:rsid w:val="00D373A4"/>
    <w:rsid w:val="00D521ED"/>
    <w:rsid w:val="00D627E8"/>
    <w:rsid w:val="00DA0B44"/>
    <w:rsid w:val="00DC22C5"/>
    <w:rsid w:val="00DD2A42"/>
    <w:rsid w:val="00DD4D84"/>
    <w:rsid w:val="00DE243F"/>
    <w:rsid w:val="00E33EA3"/>
    <w:rsid w:val="00E47CC1"/>
    <w:rsid w:val="00E50D52"/>
    <w:rsid w:val="00E53A4D"/>
    <w:rsid w:val="00E53AF3"/>
    <w:rsid w:val="00E7658D"/>
    <w:rsid w:val="00E925AC"/>
    <w:rsid w:val="00EA634E"/>
    <w:rsid w:val="00EB1881"/>
    <w:rsid w:val="00EB1CDF"/>
    <w:rsid w:val="00EB5F16"/>
    <w:rsid w:val="00EC2EDF"/>
    <w:rsid w:val="00ED668A"/>
    <w:rsid w:val="00EF1A7F"/>
    <w:rsid w:val="00F16A48"/>
    <w:rsid w:val="00F46D03"/>
    <w:rsid w:val="00F53900"/>
    <w:rsid w:val="00F55767"/>
    <w:rsid w:val="00F61D91"/>
    <w:rsid w:val="00F84A5E"/>
    <w:rsid w:val="00FA2F7F"/>
    <w:rsid w:val="00FB1DD1"/>
    <w:rsid w:val="00FC5ED3"/>
    <w:rsid w:val="00FF53B8"/>
    <w:rsid w:val="00FF6497"/>
    <w:rsid w:val="F92A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unhideWhenUsed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5">
    <w:name w:val="toc 5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6">
    <w:name w:val="toc 3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z w:val="20"/>
      <w:szCs w:val="20"/>
    </w:rPr>
  </w:style>
  <w:style w:type="paragraph" w:styleId="7">
    <w:name w:val="toc 8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8">
    <w:name w:val="Balloon Text"/>
    <w:basedOn w:val="1"/>
    <w:link w:val="24"/>
    <w:semiHidden/>
    <w:unhideWhenUsed/>
    <w:uiPriority w:val="99"/>
    <w:rPr>
      <w:rFonts w:ascii="宋体" w:eastAsia="宋体"/>
      <w:sz w:val="18"/>
      <w:szCs w:val="18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  <w:pPr>
      <w:spacing w:before="360"/>
      <w:jc w:val="left"/>
    </w:pPr>
    <w:rPr>
      <w:rFonts w:asciiTheme="majorHAnsi" w:eastAsiaTheme="majorHAnsi"/>
      <w:b/>
      <w:bCs/>
      <w:caps/>
      <w:sz w:val="24"/>
    </w:rPr>
  </w:style>
  <w:style w:type="paragraph" w:styleId="11">
    <w:name w:val="toc 4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sz w:val="20"/>
      <w:szCs w:val="20"/>
    </w:rPr>
  </w:style>
  <w:style w:type="paragraph" w:styleId="12">
    <w:name w:val="toc 6"/>
    <w:basedOn w:val="1"/>
    <w:next w:val="1"/>
    <w:autoRedefine/>
    <w:unhideWhenUsed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13">
    <w:name w:val="toc 2"/>
    <w:basedOn w:val="1"/>
    <w:next w:val="1"/>
    <w:autoRedefine/>
    <w:unhideWhenUsed/>
    <w:uiPriority w:val="39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14">
    <w:name w:val="toc 9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20"/>
      <w:szCs w:val="20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semiHidden/>
    <w:unhideWhenUsed/>
    <w:uiPriority w:val="99"/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7"/>
    <w:link w:val="2"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页脚 字符"/>
    <w:basedOn w:val="17"/>
    <w:link w:val="9"/>
    <w:uiPriority w:val="99"/>
    <w:rPr>
      <w:sz w:val="18"/>
      <w:szCs w:val="18"/>
    </w:rPr>
  </w:style>
  <w:style w:type="character" w:customStyle="1" w:styleId="24">
    <w:name w:val="批注框文本 字符"/>
    <w:basedOn w:val="17"/>
    <w:link w:val="8"/>
    <w:semiHidden/>
    <w:uiPriority w:val="99"/>
    <w:rPr>
      <w:rFonts w:ascii="宋体" w:eastAsia="宋体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77CC87D5-6236-492B-A12E-6CD4DEF3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780</Words>
  <Characters>804</Characters>
  <Lines>402</Lines>
  <Paragraphs>263</Paragraphs>
  <TotalTime>83</TotalTime>
  <ScaleCrop>false</ScaleCrop>
  <LinksUpToDate>false</LinksUpToDate>
  <CharactersWithSpaces>1321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2022-09-23T17:10:00Z</dcterms:created>
  <dc:creator>office</dc:creator>
  <cp:lastModifiedBy>张仁政</cp:lastModifiedBy>
  <dcterms:modified xsi:type="dcterms:W3CDTF">2026-06-10T16:06:16Z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FB2548E5858AF8B6F81A296A05FAA93F_42</vt:lpwstr>
  </property>
</Properties>
</file>