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w:t>
      </w:r>
      <w:r>
        <w:t xml:space="preserve"> </w:t>
      </w:r>
      <w:r>
        <w:t xml:space="preserve">H</w:t>
      </w:r>
      <w:r>
        <w:t xml:space="preserve"> </w:t>
      </w:r>
      <w:r>
        <w:t xml:space="preserve">Scoring</w:t>
      </w:r>
    </w:p>
    <w:p>
      <w:pPr>
        <w:pStyle w:val="Author"/>
      </w:pPr>
      <w:r>
        <w:t xml:space="preserve">Stef</w:t>
      </w:r>
      <w:r>
        <w:t xml:space="preserve"> </w:t>
      </w:r>
      <w:r>
        <w:t xml:space="preserve">van</w:t>
      </w:r>
      <w:r>
        <w:t xml:space="preserve"> </w:t>
      </w:r>
      <w:r>
        <w:t xml:space="preserve">Buuren</w:t>
      </w:r>
    </w:p>
    <w:p>
      <w:pPr>
        <w:pStyle w:val="Date"/>
      </w:pPr>
      <w:r>
        <w:t xml:space="preserve">20221027</w:t>
      </w:r>
    </w:p>
    <w:bookmarkStart w:id="33" w:name="d-score-and-daz"/>
    <w:p>
      <w:pPr>
        <w:pStyle w:val="Heading2"/>
      </w:pPr>
      <w:r>
        <w:t xml:space="preserve">D-score and DAZ</w:t>
      </w:r>
    </w:p>
    <w:p>
      <w:pPr>
        <w:pStyle w:val="FirstParagraph"/>
      </w:pPr>
      <w:r>
        <w:t xml:space="preserve">Suppose that you have administered SF, LF or both to one or more children. A next step is to calculate the developmental score (</w:t>
      </w:r>
      <m:oMath>
        <m:r>
          <m:t>D</m:t>
        </m:r>
      </m:oMath>
      <w:r>
        <w:t xml:space="preserve">-score) and the age-adjested equivalent (DAZ) for each child. This step is known as</w:t>
      </w:r>
      <w:r>
        <w:t xml:space="preserve"> </w:t>
      </w:r>
      <w:r>
        <w:rPr>
          <w:bCs/>
          <w:b/>
        </w:rPr>
        <w:t xml:space="preserve">scoring</w:t>
      </w:r>
      <w:r>
        <w:t xml:space="preserve">. The present section provides recipes on how to calculate these score. We may pick one of the following two methods:</w:t>
      </w:r>
    </w:p>
    <w:p>
      <w:pPr>
        <w:numPr>
          <w:ilvl w:val="0"/>
          <w:numId w:val="1001"/>
        </w:numPr>
        <w:pStyle w:val="Compact"/>
      </w:pPr>
      <w:r>
        <w:t xml:space="preserve">Online calculator. The online Shiny app</w:t>
      </w:r>
      <w:r>
        <w:t xml:space="preserve"> </w:t>
      </w:r>
      <w:hyperlink r:id="rId20">
        <w:r>
          <w:rPr>
            <w:rStyle w:val="Hyperlink"/>
          </w:rPr>
          <w:t xml:space="preserve">https://tnochildhealthstatistics.shinyapps.io/dcalculator/</w:t>
        </w:r>
      </w:hyperlink>
      <w:r>
        <w:t xml:space="preserve"> </w:t>
      </w:r>
      <w:r>
        <w:t xml:space="preserve">is a convenient option for users not familiar with</w:t>
      </w:r>
      <w:r>
        <w:t xml:space="preserve"> </w:t>
      </w:r>
      <w:r>
        <w:rPr>
          <w:rStyle w:val="VerbatimChar"/>
        </w:rPr>
        <w:t xml:space="preserve">R</w:t>
      </w:r>
      <w:r>
        <w:t xml:space="preserve">. The app contains online documentation and instructions and will not be further discussed here.</w:t>
      </w:r>
    </w:p>
    <w:p>
      <w:pPr>
        <w:numPr>
          <w:ilvl w:val="0"/>
          <w:numId w:val="1001"/>
        </w:numPr>
        <w:pStyle w:val="Compact"/>
      </w:pPr>
      <w:r>
        <w:rPr>
          <w:rStyle w:val="VerbatimChar"/>
        </w:rPr>
        <w:t xml:space="preserve">R</w:t>
      </w:r>
      <w:r>
        <w:t xml:space="preserve"> </w:t>
      </w:r>
      <w:r>
        <w:t xml:space="preserve">package</w:t>
      </w:r>
      <w:r>
        <w:t xml:space="preserve"> </w:t>
      </w:r>
      <w:r>
        <w:rPr>
          <w:rStyle w:val="VerbatimChar"/>
        </w:rPr>
        <w:t xml:space="preserve">dscore</w:t>
      </w:r>
      <w:r>
        <w:t xml:space="preserve">. The</w:t>
      </w:r>
      <w:r>
        <w:t xml:space="preserve"> </w:t>
      </w:r>
      <w:r>
        <w:rPr>
          <w:rStyle w:val="VerbatimChar"/>
        </w:rPr>
        <w:t xml:space="preserve">R</w:t>
      </w:r>
      <w:r>
        <w:t xml:space="preserve"> </w:t>
      </w:r>
      <w:r>
        <w:t xml:space="preserve">package [dscore]</w:t>
      </w:r>
      <w:hyperlink r:id="rId21">
        <w:r>
          <w:rPr>
            <w:rStyle w:val="Hyperlink"/>
          </w:rPr>
          <w:t xml:space="preserve">https://CRAN.R-project.org/package=dscore</w:t>
        </w:r>
      </w:hyperlink>
      <w:r>
        <w:t xml:space="preserve"> </w:t>
      </w:r>
      <w:r>
        <w:t xml:space="preserve">is a flexible option with all the tools needed to calculate the</w:t>
      </w:r>
      <w:r>
        <w:t xml:space="preserve"> </w:t>
      </w:r>
      <m:oMath>
        <m:r>
          <m:t>D</m:t>
        </m:r>
      </m:oMath>
      <w:r>
        <w:t xml:space="preserve">-score. It is an excellent choice for users familiar with</w:t>
      </w:r>
      <w:r>
        <w:t xml:space="preserve"> </w:t>
      </w:r>
      <w:r>
        <w:rPr>
          <w:rStyle w:val="VerbatimChar"/>
        </w:rPr>
        <w:t xml:space="preserve">R</w:t>
      </w:r>
      <w:r>
        <w:t xml:space="preserve"> </w:t>
      </w:r>
      <w:r>
        <w:t xml:space="preserve">and users who like to incorporate</w:t>
      </w:r>
      <w:r>
        <w:t xml:space="preserve"> </w:t>
      </w:r>
      <m:oMath>
        <m:r>
          <m:t>D</m:t>
        </m:r>
      </m:oMath>
      <w:r>
        <w:t xml:space="preserve">-score calculations into a workflow.</w:t>
      </w:r>
    </w:p>
    <w:bookmarkStart w:id="23" w:name="preliminaries"/>
    <w:p>
      <w:pPr>
        <w:pStyle w:val="Heading3"/>
      </w:pPr>
      <w:r>
        <w:t xml:space="preserve">Preliminaries</w:t>
      </w:r>
    </w:p>
    <w:p>
      <w:pPr>
        <w:numPr>
          <w:ilvl w:val="0"/>
          <w:numId w:val="1002"/>
        </w:numPr>
        <w:pStyle w:val="Compact"/>
      </w:pPr>
      <w:r>
        <w:t xml:space="preserve">We use the</w:t>
      </w:r>
      <w:r>
        <w:t xml:space="preserve"> </w:t>
      </w:r>
      <w:r>
        <w:rPr>
          <w:rStyle w:val="VerbatimChar"/>
        </w:rPr>
        <w:t xml:space="preserve">R</w:t>
      </w:r>
      <w:r>
        <w:t xml:space="preserve"> </w:t>
      </w:r>
      <w:r>
        <w:t xml:space="preserve">language. If you are new to</w:t>
      </w:r>
      <w:r>
        <w:t xml:space="preserve"> </w:t>
      </w:r>
      <w:r>
        <w:rPr>
          <w:rStyle w:val="VerbatimChar"/>
        </w:rPr>
        <w:t xml:space="preserve">R</w:t>
      </w:r>
      <w:r>
        <w:t xml:space="preserve"> </w:t>
      </w:r>
      <w:r>
        <w:t xml:space="preserve">consult the</w:t>
      </w:r>
      <w:r>
        <w:t xml:space="preserve"> </w:t>
      </w:r>
      <w:hyperlink r:id="rId22">
        <w:r>
          <w:rPr>
            <w:rStyle w:val="Hyperlink"/>
          </w:rPr>
          <w:t xml:space="preserve">Getting Started with R</w:t>
        </w:r>
      </w:hyperlink>
      <w:r>
        <w:t xml:space="preserve"> </w:t>
      </w:r>
      <w:r>
        <w:t xml:space="preserve">site;</w:t>
      </w:r>
    </w:p>
    <w:p>
      <w:pPr>
        <w:numPr>
          <w:ilvl w:val="0"/>
          <w:numId w:val="1002"/>
        </w:numPr>
        <w:pStyle w:val="Compact"/>
      </w:pPr>
      <w:r>
        <w:t xml:space="preserve">You need to install the</w:t>
      </w:r>
      <w:r>
        <w:t xml:space="preserve"> </w:t>
      </w:r>
      <w:r>
        <w:rPr>
          <w:rStyle w:val="VerbatimChar"/>
        </w:rPr>
        <w:t xml:space="preserve">R</w:t>
      </w:r>
      <w:r>
        <w:t xml:space="preserve"> </w:t>
      </w:r>
      <w:r>
        <w:t xml:space="preserve">package</w:t>
      </w:r>
      <w:r>
        <w:t xml:space="preserve"> </w:t>
      </w:r>
      <w:r>
        <w:rPr>
          <w:rStyle w:val="VerbatimChar"/>
        </w:rPr>
        <w:t xml:space="preserve">dscore</w:t>
      </w:r>
      <w:r>
        <w:t xml:space="preserve"> </w:t>
      </w:r>
      <w:r>
        <w:t xml:space="preserve">on your local machine;</w:t>
      </w:r>
    </w:p>
    <w:p>
      <w:pPr>
        <w:numPr>
          <w:ilvl w:val="0"/>
          <w:numId w:val="1002"/>
        </w:numPr>
        <w:pStyle w:val="Compact"/>
      </w:pPr>
      <w:r>
        <w:t xml:space="preserve">The child data need to be stored as a</w:t>
      </w:r>
      <w:r>
        <w:t xml:space="preserve"> </w:t>
      </w:r>
      <w:r>
        <w:rPr>
          <w:rStyle w:val="VerbatimChar"/>
        </w:rPr>
        <w:t xml:space="preserve">data.frame</w:t>
      </w:r>
      <w:r>
        <w:t xml:space="preserve">, a standard</w:t>
      </w:r>
      <w:r>
        <w:t xml:space="preserve"> </w:t>
      </w:r>
      <w:r>
        <w:rPr>
          <w:rStyle w:val="VerbatimChar"/>
        </w:rPr>
        <w:t xml:space="preserve">R</w:t>
      </w:r>
      <w:r>
        <w:t xml:space="preserve"> </w:t>
      </w:r>
      <w:r>
        <w:t xml:space="preserve">tabular structure;</w:t>
      </w:r>
    </w:p>
    <w:p>
      <w:pPr>
        <w:numPr>
          <w:ilvl w:val="0"/>
          <w:numId w:val="1002"/>
        </w:numPr>
        <w:pStyle w:val="Compact"/>
      </w:pPr>
      <w:r>
        <w:t xml:space="preserve">You need to run the</w:t>
      </w:r>
      <w:r>
        <w:t xml:space="preserve"> </w:t>
      </w:r>
      <w:r>
        <w:rPr>
          <w:rStyle w:val="VerbatimChar"/>
        </w:rPr>
        <w:t xml:space="preserve">dscore()</w:t>
      </w:r>
      <w:r>
        <w:t xml:space="preserve"> </w:t>
      </w:r>
      <w:r>
        <w:t xml:space="preserve">function to calculate the</w:t>
      </w:r>
      <w:r>
        <w:t xml:space="preserve"> </w:t>
      </w:r>
      <m:oMath>
        <m:r>
          <m:t>D</m:t>
        </m:r>
      </m:oMath>
      <w:r>
        <w:t xml:space="preserve">-score and DAZ. The function returns a table with six columns with the estimates with the same number of rows as your data.</w:t>
      </w:r>
    </w:p>
    <w:bookmarkEnd w:id="23"/>
    <w:bookmarkStart w:id="25" w:name="install-the-dscore-package"/>
    <w:p>
      <w:pPr>
        <w:pStyle w:val="Heading3"/>
      </w:pPr>
      <w:r>
        <w:t xml:space="preserve">Install the</w:t>
      </w:r>
      <w:r>
        <w:t xml:space="preserve"> </w:t>
      </w:r>
      <w:r>
        <w:rPr>
          <w:rStyle w:val="VerbatimChar"/>
        </w:rPr>
        <w:t xml:space="preserve">dscore</w:t>
      </w:r>
      <w:r>
        <w:t xml:space="preserve"> </w:t>
      </w:r>
      <w:r>
        <w:t xml:space="preserve">package</w:t>
      </w:r>
    </w:p>
    <w:p>
      <w:pPr>
        <w:pStyle w:val="FirstParagraph"/>
      </w:pPr>
      <w:r>
        <w:t xml:space="preserve">The</w:t>
      </w:r>
      <w:r>
        <w:t xml:space="preserve"> </w:t>
      </w:r>
      <w:r>
        <w:rPr>
          <w:rStyle w:val="VerbatimChar"/>
        </w:rPr>
        <w:t xml:space="preserve">dscore</w:t>
      </w:r>
      <w:r>
        <w:t xml:space="preserve"> </w:t>
      </w:r>
      <w:r>
        <w:t xml:space="preserve">package contains tools to</w:t>
      </w:r>
    </w:p>
    <w:p>
      <w:pPr>
        <w:numPr>
          <w:ilvl w:val="0"/>
          <w:numId w:val="1003"/>
        </w:numPr>
        <w:pStyle w:val="Compact"/>
      </w:pPr>
      <w:r>
        <w:t xml:space="preserve">Map your item names to the GSED convention</w:t>
      </w:r>
    </w:p>
    <w:p>
      <w:pPr>
        <w:numPr>
          <w:ilvl w:val="0"/>
          <w:numId w:val="1003"/>
        </w:numPr>
        <w:pStyle w:val="Compact"/>
      </w:pPr>
      <w:r>
        <w:t xml:space="preserve">Calculate</w:t>
      </w:r>
      <w:r>
        <w:t xml:space="preserve"> </w:t>
      </w:r>
      <w:r>
        <w:rPr>
          <w:iCs/>
          <w:i/>
        </w:rPr>
        <w:t xml:space="preserve">D</w:t>
      </w:r>
      <w:r>
        <w:t xml:space="preserve">-scores from item level responses</w:t>
      </w:r>
    </w:p>
    <w:p>
      <w:pPr>
        <w:numPr>
          <w:ilvl w:val="0"/>
          <w:numId w:val="1003"/>
        </w:numPr>
        <w:pStyle w:val="Compact"/>
      </w:pPr>
      <w:r>
        <w:t xml:space="preserve">Transform the</w:t>
      </w:r>
      <w:r>
        <w:t xml:space="preserve"> </w:t>
      </w:r>
      <w:r>
        <w:rPr>
          <w:iCs/>
          <w:i/>
        </w:rPr>
        <w:t xml:space="preserve">D</w:t>
      </w:r>
      <w:r>
        <w:t xml:space="preserve">-scores into DAZ, age-standardised Z-scores</w:t>
      </w:r>
    </w:p>
    <w:p>
      <w:pPr>
        <w:pStyle w:val="FirstParagraph"/>
      </w:pPr>
      <w:r>
        <w:t xml:space="preserve">The required input consists of</w:t>
      </w:r>
      <w:r>
        <w:t xml:space="preserve"> </w:t>
      </w:r>
      <w:r>
        <w:rPr>
          <w:iCs/>
          <w:i/>
        </w:rPr>
        <w:t xml:space="preserve">item level</w:t>
      </w:r>
      <w:r>
        <w:t xml:space="preserve"> </w:t>
      </w:r>
      <w:r>
        <w:t xml:space="preserve">responses on milestones from widely used instruments for measuring child development, including the GSED LF and GSED SF instruments.</w:t>
      </w:r>
    </w:p>
    <w:p>
      <w:pPr>
        <w:pStyle w:val="BodyText"/>
      </w:pPr>
      <w:r>
        <w:t xml:space="preserve">There are two versions of the</w:t>
      </w:r>
      <w:r>
        <w:t xml:space="preserve"> </w:t>
      </w:r>
      <w:r>
        <w:rPr>
          <w:rStyle w:val="VerbatimChar"/>
        </w:rPr>
        <w:t xml:space="preserve">dscore</w:t>
      </w:r>
      <w:r>
        <w:t xml:space="preserve"> </w:t>
      </w:r>
      <w:r>
        <w:t xml:space="preserve">package. The curated and published version that reside on</w:t>
      </w:r>
      <w:r>
        <w:t xml:space="preserve"> </w:t>
      </w:r>
      <w:hyperlink r:id="rId21">
        <w:r>
          <w:rPr>
            <w:rStyle w:val="Hyperlink"/>
          </w:rPr>
          <w:t xml:space="preserve">CRAN</w:t>
        </w:r>
      </w:hyperlink>
      <w:r>
        <w:t xml:space="preserve"> </w:t>
      </w:r>
      <w:r>
        <w:t xml:space="preserve">is recommended for general use. Install the package as</w:t>
      </w:r>
    </w:p>
    <w:p>
      <w:pPr>
        <w:pStyle w:val="SourceCode"/>
      </w:pPr>
      <w:r>
        <w:rPr>
          <w:rStyle w:val="FunctionTok"/>
        </w:rPr>
        <w:t xml:space="preserve">install.packages</w:t>
      </w:r>
      <w:r>
        <w:rPr>
          <w:rStyle w:val="NormalTok"/>
        </w:rPr>
        <w:t xml:space="preserve">(</w:t>
      </w:r>
      <w:r>
        <w:rPr>
          <w:rStyle w:val="StringTok"/>
        </w:rPr>
        <w:t xml:space="preserve">"dscore"</w:t>
      </w:r>
      <w:r>
        <w:rPr>
          <w:rStyle w:val="NormalTok"/>
        </w:rPr>
        <w:t xml:space="preserve">)</w:t>
      </w:r>
    </w:p>
    <w:p>
      <w:pPr>
        <w:pStyle w:val="FirstParagraph"/>
      </w:pPr>
      <w:r>
        <w:t xml:space="preserve">In some cases, there may be a newer version that includes extensions and bug fixes that are not yet available on CRAN. You can install the development version from</w:t>
      </w:r>
      <w:r>
        <w:t xml:space="preserve"> </w:t>
      </w:r>
      <w:hyperlink r:id="rId24">
        <w:r>
          <w:rPr>
            <w:rStyle w:val="Hyperlink"/>
          </w:rPr>
          <w:t xml:space="preserve">GitHub</w:t>
        </w:r>
      </w:hyperlink>
      <w:r>
        <w:t xml:space="preserve"> </w:t>
      </w:r>
      <w:r>
        <w:t xml:space="preserve">with:</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"d-score/dscore"</w:t>
      </w:r>
      <w:r>
        <w:rPr>
          <w:rStyle w:val="NormalTok"/>
        </w:rPr>
        <w:t xml:space="preserve">)</w:t>
      </w:r>
    </w:p>
    <w:p>
      <w:pPr>
        <w:pStyle w:val="FirstParagraph"/>
      </w:pPr>
      <w:r>
        <w:t xml:space="preserve">Note that the second route requires that you have a local C++ compiler available for building the package from source. We use here</w:t>
      </w:r>
      <w:r>
        <w:t xml:space="preserve"> </w:t>
      </w:r>
      <w:r>
        <w:rPr>
          <w:rStyle w:val="VerbatimChar"/>
        </w:rPr>
        <w:t xml:space="preserve">dscore 1.6.5</w:t>
      </w:r>
      <w:r>
        <w:t xml:space="preserve">.</w:t>
      </w:r>
    </w:p>
    <w:bookmarkEnd w:id="25"/>
    <w:bookmarkStart w:id="26" w:name="organise-your-data"/>
    <w:p>
      <w:pPr>
        <w:pStyle w:val="Heading3"/>
      </w:pPr>
      <w:r>
        <w:t xml:space="preserve">Organise your data</w:t>
      </w:r>
    </w:p>
    <w:p>
      <w:pPr>
        <w:pStyle w:val="FirstParagraph"/>
      </w:pPr>
      <w:r>
        <w:t xml:space="preserve">The</w:t>
      </w:r>
      <w:r>
        <w:t xml:space="preserve"> </w:t>
      </w:r>
      <w:r>
        <w:rPr>
          <w:rStyle w:val="VerbatimChar"/>
        </w:rPr>
        <w:t xml:space="preserve">dscore()</w:t>
      </w:r>
      <w:r>
        <w:t xml:space="preserve"> </w:t>
      </w:r>
      <w:r>
        <w:t xml:space="preserve">function accepts item names that follow the GSED 9-position schema. A name with a length of nine characters identifies every milestone. The following table shows the construction of names.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Position</w:t>
            </w:r>
          </w:p>
        </w:tc>
        <w:tc>
          <w:tcPr/>
          <w:p>
            <w:pPr>
              <w:pStyle w:val="Compact"/>
              <w:jc w:val="left"/>
            </w:pPr>
            <w:r>
              <w:t xml:space="preserve">Description</w:t>
            </w:r>
          </w:p>
        </w:tc>
        <w:tc>
          <w:tcPr/>
          <w:p>
            <w:pPr>
              <w:pStyle w:val="Compact"/>
              <w:jc w:val="left"/>
            </w:pPr>
            <w:r>
              <w:t xml:space="preserve">Example</w:t>
            </w:r>
          </w:p>
        </w:tc>
      </w:tr>
      <w:tr>
        <w:tc>
          <w:tcPr/>
          <w:p>
            <w:pPr>
              <w:pStyle w:val="Compact"/>
              <w:jc w:val="right"/>
            </w:pPr>
            <w:r>
              <w:t xml:space="preserve">1-3</w:t>
            </w:r>
          </w:p>
        </w:tc>
        <w:tc>
          <w:tcPr/>
          <w:p>
            <w:pPr>
              <w:pStyle w:val="Compact"/>
              <w:jc w:val="left"/>
            </w:pPr>
            <w:r>
              <w:t xml:space="preserve">instrument</w:t>
            </w:r>
          </w:p>
        </w:tc>
        <w:tc>
          <w:tcPr/>
          <w:p>
            <w:pPr>
              <w:pStyle w:val="Compact"/>
              <w:jc w:val="left"/>
            </w:pPr>
            <w:r>
              <w:rPr>
                <w:rStyle w:val="VerbatimChar"/>
              </w:rPr>
              <w:t xml:space="preserve">by3</w:t>
            </w:r>
          </w:p>
        </w:tc>
      </w:tr>
      <w:tr>
        <w:tc>
          <w:tcPr/>
          <w:p>
            <w:pPr>
              <w:pStyle w:val="Compact"/>
              <w:jc w:val="right"/>
            </w:pPr>
            <w:r>
              <w:t xml:space="preserve">4-5</w:t>
            </w:r>
          </w:p>
        </w:tc>
        <w:tc>
          <w:tcPr/>
          <w:p>
            <w:pPr>
              <w:pStyle w:val="Compact"/>
              <w:jc w:val="left"/>
            </w:pPr>
            <w:r>
              <w:t xml:space="preserve">developmental domain</w:t>
            </w:r>
          </w:p>
        </w:tc>
        <w:tc>
          <w:tcPr/>
          <w:p>
            <w:pPr>
              <w:pStyle w:val="Compact"/>
              <w:jc w:val="left"/>
            </w:pPr>
            <w:r>
              <w:rPr>
                <w:rStyle w:val="VerbatimChar"/>
              </w:rPr>
              <w:t xml:space="preserve">cg</w:t>
            </w:r>
          </w:p>
        </w:tc>
      </w:tr>
      <w:tr>
        <w:tc>
          <w:tcPr/>
          <w:p>
            <w:pPr>
              <w:pStyle w:val="Compact"/>
              <w:jc w:val="right"/>
            </w:pPr>
            <w:r>
              <w:t xml:space="preserve">6</w:t>
            </w:r>
          </w:p>
        </w:tc>
        <w:tc>
          <w:tcPr/>
          <w:p>
            <w:pPr>
              <w:pStyle w:val="Compact"/>
              <w:jc w:val="left"/>
            </w:pPr>
            <w:r>
              <w:t xml:space="preserve">administration mode</w:t>
            </w:r>
          </w:p>
        </w:tc>
        <w:tc>
          <w:tcPr/>
          <w:p>
            <w:pPr>
              <w:pStyle w:val="Compact"/>
              <w:jc w:val="left"/>
            </w:pPr>
            <w:r>
              <w:rPr>
                <w:rStyle w:val="VerbatimChar"/>
              </w:rPr>
              <w:t xml:space="preserve">d</w:t>
            </w:r>
          </w:p>
        </w:tc>
      </w:tr>
      <w:tr>
        <w:tc>
          <w:tcPr/>
          <w:p>
            <w:pPr>
              <w:pStyle w:val="Compact"/>
              <w:jc w:val="right"/>
            </w:pPr>
            <w:r>
              <w:t xml:space="preserve">7-9</w:t>
            </w:r>
          </w:p>
        </w:tc>
        <w:tc>
          <w:tcPr/>
          <w:p>
            <w:pPr>
              <w:pStyle w:val="Compact"/>
              <w:jc w:val="left"/>
            </w:pPr>
            <w:r>
              <w:t xml:space="preserve">item number</w:t>
            </w:r>
          </w:p>
        </w:tc>
        <w:tc>
          <w:tcPr/>
          <w:p>
            <w:pPr>
              <w:pStyle w:val="Compact"/>
              <w:jc w:val="left"/>
            </w:pPr>
            <w:r>
              <w:rPr>
                <w:rStyle w:val="VerbatimChar"/>
              </w:rPr>
              <w:t xml:space="preserve">018</w:t>
            </w:r>
          </w:p>
        </w:tc>
      </w:tr>
    </w:tbl>
    <w:p>
      <w:pPr>
        <w:pStyle w:val="BodyText"/>
      </w:pPr>
      <w:r>
        <w:t xml:space="preserve">Thus, item</w:t>
      </w:r>
      <w:r>
        <w:t xml:space="preserve"> </w:t>
      </w:r>
      <w:r>
        <w:rPr>
          <w:rStyle w:val="VerbatimChar"/>
        </w:rPr>
        <w:t xml:space="preserve">by3cgd018</w:t>
      </w:r>
      <w:r>
        <w:t xml:space="preserve"> </w:t>
      </w:r>
      <w:r>
        <w:t xml:space="preserve">refers to the 18th item in the cognitive scale of the Bayley-III. The label of the item can be obtained by</w:t>
      </w:r>
    </w:p>
    <w:p>
      <w:pPr>
        <w:pStyle w:val="SourceCode"/>
      </w:pPr>
      <w:r>
        <w:rPr>
          <w:rStyle w:val="FunctionTok"/>
        </w:rPr>
        <w:t xml:space="preserve">library</w:t>
      </w:r>
      <w:r>
        <w:rPr>
          <w:rStyle w:val="NormalTok"/>
        </w:rPr>
        <w:t xml:space="preserve">(dscore)</w:t>
      </w:r>
      <w:r>
        <w:br/>
      </w:r>
      <w:r>
        <w:rPr>
          <w:rStyle w:val="FunctionTok"/>
        </w:rPr>
        <w:t xml:space="preserve">get_labels</w:t>
      </w:r>
      <w:r>
        <w:rPr>
          <w:rStyle w:val="NormalTok"/>
        </w:rPr>
        <w:t xml:space="preserve">(</w:t>
      </w:r>
      <w:r>
        <w:rPr>
          <w:rStyle w:val="StringTok"/>
        </w:rPr>
        <w:t xml:space="preserve">"by3cgd018"</w:t>
      </w:r>
      <w:r>
        <w:rPr>
          <w:rStyle w:val="NormalTok"/>
        </w:rPr>
        <w:t xml:space="preserve">)</w:t>
      </w:r>
    </w:p>
    <w:p>
      <w:pPr>
        <w:pStyle w:val="SourceCode"/>
      </w:pPr>
      <w:r>
        <w:rPr>
          <w:rStyle w:val="VerbatimChar"/>
        </w:rPr>
        <w:t xml:space="preserve">##           by3cgd018 </w:t>
      </w:r>
      <w:r>
        <w:br/>
      </w:r>
      <w:r>
        <w:rPr>
          <w:rStyle w:val="VerbatimChar"/>
        </w:rPr>
        <w:t xml:space="preserve">## "Inspects own hand"</w:t>
      </w:r>
    </w:p>
    <w:p>
      <w:pPr>
        <w:pStyle w:val="FirstParagraph"/>
      </w:pPr>
      <w:r>
        <w:t xml:space="preserve">The instrument codes for the GSED LF and GSED SF are</w:t>
      </w:r>
      <w:r>
        <w:t xml:space="preserve"> </w:t>
      </w:r>
      <w:r>
        <w:rPr>
          <w:rStyle w:val="VerbatimChar"/>
        </w:rPr>
        <w:t xml:space="preserve">gto</w:t>
      </w:r>
      <w:r>
        <w:t xml:space="preserve"> </w:t>
      </w:r>
      <w:r>
        <w:t xml:space="preserve">and</w:t>
      </w:r>
      <w:r>
        <w:t xml:space="preserve"> </w:t>
      </w:r>
      <w:r>
        <w:rPr>
          <w:rStyle w:val="VerbatimChar"/>
        </w:rPr>
        <w:t xml:space="preserve">gpa</w:t>
      </w:r>
      <w:r>
        <w:t xml:space="preserve">, respectively. The first three items in the SF (2020 version) are:</w:t>
      </w:r>
    </w:p>
    <w:p>
      <w:pPr>
        <w:pStyle w:val="SourceCode"/>
      </w:pPr>
      <w:r>
        <w:rPr>
          <w:rStyle w:val="NormalTok"/>
        </w:rPr>
        <w:t xml:space="preserve">items_gpa </w:t>
      </w:r>
      <w:r>
        <w:rPr>
          <w:rStyle w:val="OtherTok"/>
        </w:rPr>
        <w:t xml:space="preserve">&lt;-</w:t>
      </w:r>
      <w:r>
        <w:rPr>
          <w:rStyle w:val="NormalTok"/>
        </w:rPr>
        <w:t xml:space="preserve"> </w:t>
      </w:r>
      <w:r>
        <w:rPr>
          <w:rStyle w:val="FunctionTok"/>
        </w:rPr>
        <w:t xml:space="preserve">get_itemnames</w:t>
      </w:r>
      <w:r>
        <w:rPr>
          <w:rStyle w:val="NormalTok"/>
        </w:rPr>
        <w:t xml:space="preserve">(</w:t>
      </w:r>
      <w:r>
        <w:rPr>
          <w:rStyle w:val="AttributeTok"/>
        </w:rPr>
        <w:t xml:space="preserve">instrument =</w:t>
      </w:r>
      <w:r>
        <w:rPr>
          <w:rStyle w:val="NormalTok"/>
        </w:rPr>
        <w:t xml:space="preserve"> </w:t>
      </w:r>
      <w:r>
        <w:rPr>
          <w:rStyle w:val="StringTok"/>
        </w:rPr>
        <w:t xml:space="preserve">"gpa"</w:t>
      </w:r>
      <w:r>
        <w:rPr>
          <w:rStyle w:val="NormalTok"/>
        </w:rPr>
        <w:t xml:space="preserve">, </w:t>
      </w:r>
      <w:r>
        <w:rPr>
          <w:rStyle w:val="AttributeTok"/>
        </w:rPr>
        <w:t xml:space="preserve">order =</w:t>
      </w:r>
      <w:r>
        <w:rPr>
          <w:rStyle w:val="NormalTok"/>
        </w:rPr>
        <w:t xml:space="preserve"> </w:t>
      </w:r>
      <w:r>
        <w:rPr>
          <w:rStyle w:val="StringTok"/>
        </w:rPr>
        <w:t xml:space="preserve">"indm"</w:t>
      </w:r>
      <w:r>
        <w:rPr>
          <w:rStyle w:val="NormalTok"/>
        </w:rPr>
        <w:t xml:space="preserve">)</w:t>
      </w:r>
      <w:r>
        <w:br/>
      </w:r>
      <w:r>
        <w:rPr>
          <w:rStyle w:val="FunctionTok"/>
        </w:rPr>
        <w:t xml:space="preserve">head</w:t>
      </w:r>
      <w:r>
        <w:rPr>
          <w:rStyle w:val="NormalTok"/>
        </w:rPr>
        <w:t xml:space="preserve">(items_gpa, </w:t>
      </w:r>
      <w:r>
        <w:rPr>
          <w:rStyle w:val="DecValTok"/>
        </w:rPr>
        <w:t xml:space="preserve">3</w:t>
      </w:r>
      <w:r>
        <w:rPr>
          <w:rStyle w:val="NormalTok"/>
        </w:rPr>
        <w:t xml:space="preserve">)</w:t>
      </w:r>
    </w:p>
    <w:p>
      <w:pPr>
        <w:pStyle w:val="SourceCode"/>
      </w:pPr>
      <w:r>
        <w:rPr>
          <w:rStyle w:val="VerbatimChar"/>
        </w:rPr>
        <w:t xml:space="preserve">## [1] "gpalac001" "gpacgc002" "gpafmc003"</w:t>
      </w:r>
    </w:p>
    <w:p>
      <w:pPr>
        <w:pStyle w:val="FirstParagraph"/>
      </w:pPr>
      <w:r>
        <w:t xml:space="preserve">The</w:t>
      </w:r>
      <w:r>
        <w:t xml:space="preserve"> </w:t>
      </w:r>
      <w:r>
        <w:rPr>
          <w:rStyle w:val="VerbatimChar"/>
        </w:rPr>
        <w:t xml:space="preserve">order</w:t>
      </w:r>
      <w:r>
        <w:t xml:space="preserve"> </w:t>
      </w:r>
      <w:r>
        <w:t xml:space="preserve">argument is needed to sort items according to sequence number 1 to 139 as in the SF form (2020 version). For the LF (2020 version) we rely on the default order that provides items numbered within streams fine motor (</w:t>
      </w:r>
      <w:r>
        <w:rPr>
          <w:rStyle w:val="VerbatimChar"/>
        </w:rPr>
        <w:t xml:space="preserve">fm</w:t>
      </w:r>
      <w:r>
        <w:t xml:space="preserve">), gross motor (</w:t>
      </w:r>
      <w:r>
        <w:rPr>
          <w:rStyle w:val="VerbatimChar"/>
        </w:rPr>
        <w:t xml:space="preserve">gm</w:t>
      </w:r>
      <w:r>
        <w:t xml:space="preserve">) and language (</w:t>
      </w:r>
      <w:r>
        <w:rPr>
          <w:rStyle w:val="VerbatimChar"/>
        </w:rPr>
        <w:t xml:space="preserve">lg</w:t>
      </w:r>
      <w:r>
        <w:t xml:space="preserve">), respectively.</w:t>
      </w:r>
    </w:p>
    <w:p>
      <w:pPr>
        <w:pStyle w:val="SourceCode"/>
      </w:pPr>
      <w:r>
        <w:rPr>
          <w:rStyle w:val="NormalTok"/>
        </w:rPr>
        <w:t xml:space="preserve">items_gto </w:t>
      </w:r>
      <w:r>
        <w:rPr>
          <w:rStyle w:val="OtherTok"/>
        </w:rPr>
        <w:t xml:space="preserve">&lt;-</w:t>
      </w:r>
      <w:r>
        <w:rPr>
          <w:rStyle w:val="NormalTok"/>
        </w:rPr>
        <w:t xml:space="preserve"> </w:t>
      </w:r>
      <w:r>
        <w:rPr>
          <w:rStyle w:val="FunctionTok"/>
        </w:rPr>
        <w:t xml:space="preserve">get_itemnames</w:t>
      </w:r>
      <w:r>
        <w:rPr>
          <w:rStyle w:val="NormalTok"/>
        </w:rPr>
        <w:t xml:space="preserve">(</w:t>
      </w:r>
      <w:r>
        <w:rPr>
          <w:rStyle w:val="AttributeTok"/>
        </w:rPr>
        <w:t xml:space="preserve">instrument =</w:t>
      </w:r>
      <w:r>
        <w:rPr>
          <w:rStyle w:val="NormalTok"/>
        </w:rPr>
        <w:t xml:space="preserve"> </w:t>
      </w:r>
      <w:r>
        <w:rPr>
          <w:rStyle w:val="StringTok"/>
        </w:rPr>
        <w:t xml:space="preserve">"gto"</w:t>
      </w:r>
      <w:r>
        <w:rPr>
          <w:rStyle w:val="NormalTok"/>
        </w:rPr>
        <w:t xml:space="preserve">)</w:t>
      </w:r>
      <w:r>
        <w:br/>
      </w:r>
      <w:r>
        <w:rPr>
          <w:rStyle w:val="FunctionTok"/>
        </w:rPr>
        <w:t xml:space="preserve">head</w:t>
      </w:r>
      <w:r>
        <w:rPr>
          <w:rStyle w:val="NormalTok"/>
        </w:rPr>
        <w:t xml:space="preserve">(items_gto, </w:t>
      </w:r>
      <w:r>
        <w:rPr>
          <w:rStyle w:val="DecValTok"/>
        </w:rPr>
        <w:t xml:space="preserve">3</w:t>
      </w:r>
      <w:r>
        <w:rPr>
          <w:rStyle w:val="NormalTok"/>
        </w:rPr>
        <w:t xml:space="preserve">)</w:t>
      </w:r>
    </w:p>
    <w:p>
      <w:pPr>
        <w:pStyle w:val="SourceCode"/>
      </w:pPr>
      <w:r>
        <w:rPr>
          <w:rStyle w:val="VerbatimChar"/>
        </w:rPr>
        <w:t xml:space="preserve">## [1] "gtofmd001" "gtofmd002" "gtofmd003"</w:t>
      </w:r>
    </w:p>
    <w:p>
      <w:pPr>
        <w:pStyle w:val="FirstParagraph"/>
      </w:pPr>
      <w:r>
        <w:t xml:space="preserve">The labels from these items can be obtained as</w:t>
      </w:r>
    </w:p>
    <w:p>
      <w:pPr>
        <w:pStyle w:val="SourceCode"/>
      </w:pPr>
      <w:r>
        <w:rPr>
          <w:rStyle w:val="NormalTok"/>
        </w:rPr>
        <w:t xml:space="preserve">labels_gto </w:t>
      </w:r>
      <w:r>
        <w:rPr>
          <w:rStyle w:val="OtherTok"/>
        </w:rPr>
        <w:t xml:space="preserve">&lt;-</w:t>
      </w:r>
      <w:r>
        <w:rPr>
          <w:rStyle w:val="NormalTok"/>
        </w:rPr>
        <w:t xml:space="preserve"> </w:t>
      </w:r>
      <w:r>
        <w:rPr>
          <w:rStyle w:val="FunctionTok"/>
        </w:rPr>
        <w:t xml:space="preserve">get_labels</w:t>
      </w:r>
      <w:r>
        <w:rPr>
          <w:rStyle w:val="NormalTok"/>
        </w:rPr>
        <w:t xml:space="preserve">(items_gto)</w:t>
      </w:r>
    </w:p>
    <w:p>
      <w:pPr>
        <w:pStyle w:val="FirstParagraph"/>
      </w:pPr>
      <w:r>
        <w:t xml:space="preserve">[</w:t>
      </w:r>
      <w:r>
        <w:rPr>
          <w:iCs/>
          <w:i/>
        </w:rPr>
        <w:t xml:space="preserve">NOTE: For user convenience: We need to generalise get_itemnames() to different versions of SF and LF (that use other item sequences).</w:t>
      </w:r>
      <w:r>
        <w:t xml:space="preserve">]</w:t>
      </w:r>
    </w:p>
    <w:bookmarkEnd w:id="26"/>
    <w:bookmarkStart w:id="27" w:name="response-data-format"/>
    <w:p>
      <w:pPr>
        <w:pStyle w:val="Heading3"/>
      </w:pPr>
      <w:r>
        <w:t xml:space="preserve">Response data format</w:t>
      </w:r>
    </w:p>
    <w:p>
      <w:pPr>
        <w:pStyle w:val="FirstParagraph"/>
      </w:pPr>
      <w:r>
        <w:t xml:space="preserve">The</w:t>
      </w:r>
      <w:r>
        <w:t xml:space="preserve"> </w:t>
      </w:r>
      <w:r>
        <w:rPr>
          <w:rStyle w:val="VerbatimChar"/>
        </w:rPr>
        <w:t xml:space="preserve">dscore</w:t>
      </w:r>
      <w:r>
        <w:t xml:space="preserve"> </w:t>
      </w:r>
      <w:r>
        <w:t xml:space="preserve">package contains methods for binary items only. Each child at a given age occupies a separate row. The</w:t>
      </w:r>
      <w:r>
        <w:t xml:space="preserve"> </w:t>
      </w:r>
      <w:r>
        <w:rPr>
          <w:rStyle w:val="VerbatimChar"/>
        </w:rPr>
        <w:t xml:space="preserve">gsample</w:t>
      </w:r>
      <w:r>
        <w:t xml:space="preserve"> </w:t>
      </w:r>
      <w:r>
        <w:t xml:space="preserve">dataset in the</w:t>
      </w:r>
      <w:r>
        <w:t xml:space="preserve"> </w:t>
      </w:r>
      <w:r>
        <w:rPr>
          <w:rStyle w:val="VerbatimChar"/>
        </w:rPr>
        <w:t xml:space="preserve">dscore</w:t>
      </w:r>
      <w:r>
        <w:t xml:space="preserve"> </w:t>
      </w:r>
      <w:r>
        <w:t xml:space="preserve">package is an example of data in the proper format. It contains 10 rows with responses of 10 children measured on the GSED SF and GSED LF at various ages. The dataset has 295 columns. The first seven columns of the dataset look like:</w:t>
      </w:r>
    </w:p>
    <w:p>
      <w:pPr>
        <w:pStyle w:val="SourceCode"/>
      </w:pPr>
      <w:r>
        <w:rPr>
          <w:rStyle w:val="NormalTok"/>
        </w:rPr>
        <w:t xml:space="preserve">gsample[, </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subjid agedays gpalac001 gpacgc002 gpafmc003 gpasec004 gpamoc005</w:t>
      </w:r>
      <w:r>
        <w:br/>
      </w:r>
      <w:r>
        <w:rPr>
          <w:rStyle w:val="VerbatimChar"/>
        </w:rPr>
        <w:t xml:space="preserve">## 1       1     811        NA        NA        NA        NA        NA</w:t>
      </w:r>
      <w:r>
        <w:br/>
      </w:r>
      <w:r>
        <w:rPr>
          <w:rStyle w:val="VerbatimChar"/>
        </w:rPr>
        <w:t xml:space="preserve">## 2       2     898        NA        NA        NA        NA        NA</w:t>
      </w:r>
      <w:r>
        <w:br/>
      </w:r>
      <w:r>
        <w:rPr>
          <w:rStyle w:val="VerbatimChar"/>
        </w:rPr>
        <w:t xml:space="preserve">## 3       3     203        NA        NA        NA        NA        NA</w:t>
      </w:r>
      <w:r>
        <w:br/>
      </w:r>
      <w:r>
        <w:rPr>
          <w:rStyle w:val="VerbatimChar"/>
        </w:rPr>
        <w:t xml:space="preserve">## 4       4     966        NA        NA        NA        NA        NA</w:t>
      </w:r>
      <w:r>
        <w:br/>
      </w:r>
      <w:r>
        <w:rPr>
          <w:rStyle w:val="VerbatimChar"/>
        </w:rPr>
        <w:t xml:space="preserve">## 5       8     770        NA        NA        NA        NA        NA</w:t>
      </w:r>
      <w:r>
        <w:br/>
      </w:r>
      <w:r>
        <w:rPr>
          <w:rStyle w:val="VerbatimChar"/>
        </w:rPr>
        <w:t xml:space="preserve">## 6       9     306        NA        NA        NA        NA        NA</w:t>
      </w:r>
      <w:r>
        <w:br/>
      </w:r>
      <w:r>
        <w:rPr>
          <w:rStyle w:val="VerbatimChar"/>
        </w:rPr>
        <w:t xml:space="preserve">## 7      10    1214        NA        NA        NA        NA        NA</w:t>
      </w:r>
      <w:r>
        <w:br/>
      </w:r>
      <w:r>
        <w:rPr>
          <w:rStyle w:val="VerbatimChar"/>
        </w:rPr>
        <w:t xml:space="preserve">## 8      11     722        NA        NA        NA        NA        NA</w:t>
      </w:r>
      <w:r>
        <w:br/>
      </w:r>
      <w:r>
        <w:rPr>
          <w:rStyle w:val="VerbatimChar"/>
        </w:rPr>
        <w:t xml:space="preserve">## 9      13     131         1         1         1         1         1</w:t>
      </w:r>
      <w:r>
        <w:br/>
      </w:r>
      <w:r>
        <w:rPr>
          <w:rStyle w:val="VerbatimChar"/>
        </w:rPr>
        <w:t xml:space="preserve">## 10     14      50         1         1         1         1         1</w:t>
      </w:r>
    </w:p>
    <w:p>
      <w:pPr>
        <w:pStyle w:val="FirstParagraph"/>
      </w:pPr>
      <w:r>
        <w:t xml:space="preserve">Each row corresponds to a visit. Columns starting with</w:t>
      </w:r>
      <w:r>
        <w:t xml:space="preserve"> </w:t>
      </w:r>
      <w:r>
        <w:rPr>
          <w:rStyle w:val="VerbatimChar"/>
        </w:rPr>
        <w:t xml:space="preserve">gpa</w:t>
      </w:r>
      <w:r>
        <w:t xml:space="preserve"> </w:t>
      </w:r>
      <w:r>
        <w:t xml:space="preserve">hold the responses on items from GSED-SF items. Item level data should be coded as</w:t>
      </w:r>
      <w:r>
        <w:t xml:space="preserve"> </w:t>
      </w:r>
      <w:r>
        <w:rPr>
          <w:rStyle w:val="VerbatimChar"/>
        </w:rPr>
        <w:t xml:space="preserve">0</w:t>
      </w:r>
      <w:r>
        <w:t xml:space="preserve"> </w:t>
      </w:r>
      <w:r>
        <w:t xml:space="preserve">(FAIL),</w:t>
      </w:r>
      <w:r>
        <w:t xml:space="preserve"> </w:t>
      </w:r>
      <w:r>
        <w:rPr>
          <w:rStyle w:val="VerbatimChar"/>
        </w:rPr>
        <w:t xml:space="preserve">1</w:t>
      </w:r>
      <w:r>
        <w:t xml:space="preserve"> </w:t>
      </w:r>
      <w:r>
        <w:t xml:space="preserve">(PASS) or</w:t>
      </w:r>
      <w:r>
        <w:t xml:space="preserve"> </w:t>
      </w:r>
      <w:r>
        <w:rPr>
          <w:rStyle w:val="VerbatimChar"/>
        </w:rPr>
        <w:t xml:space="preserve">NA</w:t>
      </w:r>
      <w:r>
        <w:t xml:space="preserve"> </w:t>
      </w:r>
      <w:r>
        <w:t xml:space="preserve">(not administered, not answered). Note that the easiest items are not administered to children older then 6 months, so we see a large block of</w:t>
      </w:r>
      <w:r>
        <w:t xml:space="preserve"> </w:t>
      </w:r>
      <w:r>
        <w:rPr>
          <w:rStyle w:val="VerbatimChar"/>
        </w:rPr>
        <w:t xml:space="preserve">NA</w:t>
      </w:r>
      <w:r>
        <w:t xml:space="preserve">’s for the early SF items.</w:t>
      </w:r>
    </w:p>
    <w:bookmarkEnd w:id="27"/>
    <w:bookmarkStart w:id="28" w:name="calculate-d-score"/>
    <w:p>
      <w:pPr>
        <w:pStyle w:val="Heading3"/>
      </w:pPr>
      <w:r>
        <w:t xml:space="preserve">Calculate</w:t>
      </w:r>
      <w:r>
        <w:t xml:space="preserve"> </w:t>
      </w:r>
      <m:oMath>
        <m:r>
          <m:t>D</m:t>
        </m:r>
      </m:oMath>
      <w:r>
        <w:t xml:space="preserve">-score</w:t>
      </w:r>
    </w:p>
    <w:p>
      <w:pPr>
        <w:pStyle w:val="FirstParagraph"/>
      </w:pPr>
      <w:r>
        <w:t xml:space="preserve">Once the data are in proper shape, calculation of the</w:t>
      </w:r>
      <w:r>
        <w:t xml:space="preserve"> </w:t>
      </w:r>
      <m:oMath>
        <m:r>
          <m:t>D</m:t>
        </m:r>
      </m:oMath>
      <w:r>
        <w:t xml:space="preserve">-score is straightforward. The</w:t>
      </w:r>
      <w:r>
        <w:t xml:space="preserve"> </w:t>
      </w:r>
      <w:r>
        <w:rPr>
          <w:rStyle w:val="VerbatimChar"/>
        </w:rPr>
        <w:t xml:space="preserve">gssample</w:t>
      </w:r>
      <w:r>
        <w:t xml:space="preserve"> </w:t>
      </w:r>
      <w:r>
        <w:t xml:space="preserve">dataset has properly named columns that identify each item.</w:t>
      </w:r>
    </w:p>
    <w:p>
      <w:pPr>
        <w:pStyle w:val="BodyText"/>
      </w:pPr>
      <w:r>
        <w:t xml:space="preserve">Since one SF item (</w:t>
      </w:r>
      <w:r>
        <w:rPr>
          <w:rStyle w:val="VerbatimChar"/>
        </w:rPr>
        <w:t xml:space="preserve">gpamoc008</w:t>
      </w:r>
      <w:r>
        <w:t xml:space="preserve">) is not present in the data, we need to remove it from the vector with item names. You may calculate the</w:t>
      </w:r>
      <w:r>
        <w:t xml:space="preserve"> </w:t>
      </w:r>
      <m:oMath>
        <m:r>
          <m:t>D</m:t>
        </m:r>
      </m:oMath>
      <w:r>
        <w:t xml:space="preserve">-score from the remaining 138 SF items as</w:t>
      </w:r>
    </w:p>
    <w:p>
      <w:pPr>
        <w:pStyle w:val="SourceCode"/>
      </w:pPr>
      <w:r>
        <w:rPr>
          <w:rStyle w:val="NormalTok"/>
        </w:rPr>
        <w:t xml:space="preserve">items_gpa </w:t>
      </w:r>
      <w:r>
        <w:rPr>
          <w:rStyle w:val="OtherTok"/>
        </w:rPr>
        <w:t xml:space="preserve">&lt;-</w:t>
      </w:r>
      <w:r>
        <w:rPr>
          <w:rStyle w:val="NormalTok"/>
        </w:rPr>
        <w:t xml:space="preserve"> </w:t>
      </w:r>
      <w:r>
        <w:rPr>
          <w:rStyle w:val="FunctionTok"/>
        </w:rPr>
        <w:t xml:space="preserve">setdiff</w:t>
      </w:r>
      <w:r>
        <w:rPr>
          <w:rStyle w:val="NormalTok"/>
        </w:rPr>
        <w:t xml:space="preserve">(items_gpa, </w:t>
      </w:r>
      <w:r>
        <w:rPr>
          <w:rStyle w:val="StringTok"/>
        </w:rPr>
        <w:t xml:space="preserve">"gpamoc008"</w:t>
      </w:r>
      <w:r>
        <w:rPr>
          <w:rStyle w:val="NormalTok"/>
        </w:rPr>
        <w:t xml:space="preserve">)</w:t>
      </w:r>
      <w:r>
        <w:br/>
      </w:r>
      <w:r>
        <w:rPr>
          <w:rStyle w:val="NormalTok"/>
        </w:rPr>
        <w:t xml:space="preserve">sf </w:t>
      </w:r>
      <w:r>
        <w:rPr>
          <w:rStyle w:val="OtherTok"/>
        </w:rPr>
        <w:t xml:space="preserve">&lt;-</w:t>
      </w:r>
      <w:r>
        <w:rPr>
          <w:rStyle w:val="NormalTok"/>
        </w:rPr>
        <w:t xml:space="preserve"> </w:t>
      </w:r>
      <w:r>
        <w:rPr>
          <w:rStyle w:val="FunctionTok"/>
        </w:rPr>
        <w:t xml:space="preserve">dscore</w:t>
      </w:r>
      <w:r>
        <w:rPr>
          <w:rStyle w:val="NormalTok"/>
        </w:rPr>
        <w:t xml:space="preserve">(gsample, </w:t>
      </w:r>
      <w:r>
        <w:rPr>
          <w:rStyle w:val="AttributeTok"/>
        </w:rPr>
        <w:t xml:space="preserve">items =</w:t>
      </w:r>
      <w:r>
        <w:rPr>
          <w:rStyle w:val="NormalTok"/>
        </w:rPr>
        <w:t xml:space="preserve"> items_gpa, </w:t>
      </w:r>
      <w:r>
        <w:rPr>
          <w:rStyle w:val="AttributeTok"/>
        </w:rPr>
        <w:t xml:space="preserve">xname =</w:t>
      </w:r>
      <w:r>
        <w:rPr>
          <w:rStyle w:val="NormalTok"/>
        </w:rPr>
        <w:t xml:space="preserve"> </w:t>
      </w:r>
      <w:r>
        <w:rPr>
          <w:rStyle w:val="StringTok"/>
        </w:rPr>
        <w:t xml:space="preserve">"agedays"</w:t>
      </w:r>
      <w:r>
        <w:rPr>
          <w:rStyle w:val="NormalTok"/>
        </w:rPr>
        <w:t xml:space="preserve">, </w:t>
      </w:r>
      <w:r>
        <w:rPr>
          <w:rStyle w:val="AttributeTok"/>
        </w:rPr>
        <w:t xml:space="preserve">xunit =</w:t>
      </w:r>
      <w:r>
        <w:rPr>
          <w:rStyle w:val="NormalTok"/>
        </w:rPr>
        <w:t xml:space="preserve"> </w:t>
      </w:r>
      <w:r>
        <w:rPr>
          <w:rStyle w:val="StringTok"/>
        </w:rPr>
        <w:t xml:space="preserve">"days"</w:t>
      </w:r>
      <w:r>
        <w:rPr>
          <w:rStyle w:val="NormalTok"/>
        </w:rPr>
        <w:t xml:space="preserve">)</w:t>
      </w:r>
      <w:r>
        <w:br/>
      </w:r>
      <w:r>
        <w:rPr>
          <w:rStyle w:val="FunctionTok"/>
        </w:rPr>
        <w:t xml:space="preserve">head</w:t>
      </w:r>
      <w:r>
        <w:rPr>
          <w:rStyle w:val="NormalTok"/>
        </w:rPr>
        <w:t xml:space="preserve">(sf)</w:t>
      </w:r>
    </w:p>
    <w:p>
      <w:pPr>
        <w:pStyle w:val="SourceCode"/>
      </w:pPr>
      <w:r>
        <w:rPr>
          <w:rStyle w:val="VerbatimChar"/>
        </w:rPr>
        <w:t xml:space="preserve">##       a  n     p    d   sem    daz</w:t>
      </w:r>
      <w:r>
        <w:br/>
      </w:r>
      <w:r>
        <w:rPr>
          <w:rStyle w:val="VerbatimChar"/>
        </w:rPr>
        <w:t xml:space="preserve">## 1 2.220 29 0.759 65.2 0.734 -0.416</w:t>
      </w:r>
      <w:r>
        <w:br/>
      </w:r>
      <w:r>
        <w:rPr>
          <w:rStyle w:val="VerbatimChar"/>
        </w:rPr>
        <w:t xml:space="preserve">## 2 2.459 39 0.692 68.3 0.735 -0.173</w:t>
      </w:r>
      <w:r>
        <w:br/>
      </w:r>
      <w:r>
        <w:rPr>
          <w:rStyle w:val="VerbatimChar"/>
        </w:rPr>
        <w:t xml:space="preserve">## 3 0.556 50 0.660 38.4 0.943  1.055</w:t>
      </w:r>
      <w:r>
        <w:br/>
      </w:r>
      <w:r>
        <w:rPr>
          <w:rStyle w:val="VerbatimChar"/>
        </w:rPr>
        <w:t xml:space="preserve">## 4 2.645 36 0.750 73.4 0.661  0.895</w:t>
      </w:r>
      <w:r>
        <w:br/>
      </w:r>
      <w:r>
        <w:rPr>
          <w:rStyle w:val="VerbatimChar"/>
        </w:rPr>
        <w:t xml:space="preserve">## 5 2.108 50 0.500 65.5 0.616 -0.009</w:t>
      </w:r>
      <w:r>
        <w:br/>
      </w:r>
      <w:r>
        <w:rPr>
          <w:rStyle w:val="VerbatimChar"/>
        </w:rPr>
        <w:t xml:space="preserve">## 6 0.838 50 0.700 41.6 1.008 -0.600</w:t>
      </w:r>
    </w:p>
    <w:p>
      <w:pPr>
        <w:pStyle w:val="FirstParagraph"/>
      </w:pPr>
      <w:r>
        <w:t xml:space="preserve">The table below provides the interpretation of the output: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Name</w:t>
            </w:r>
          </w:p>
        </w:tc>
        <w:tc>
          <w:tcPr/>
          <w:p>
            <w:pPr>
              <w:pStyle w:val="Compact"/>
              <w:jc w:val="left"/>
            </w:pPr>
            <w:r>
              <w:t xml:space="preserve">Interpretation</w:t>
            </w:r>
          </w:p>
        </w:tc>
      </w:tr>
      <w:tr>
        <w:tc>
          <w:tcPr/>
          <w:p>
            <w:pPr>
              <w:pStyle w:val="Compact"/>
              <w:jc w:val="left"/>
            </w:pPr>
            <w:r>
              <w:rPr>
                <w:rStyle w:val="VerbatimChar"/>
              </w:rPr>
              <w:t xml:space="preserve">a</w:t>
            </w:r>
          </w:p>
        </w:tc>
        <w:tc>
          <w:tcPr/>
          <w:p>
            <w:pPr>
              <w:pStyle w:val="Compact"/>
              <w:jc w:val="left"/>
            </w:pPr>
            <w:r>
              <w:t xml:space="preserve">Decimal age in years</w:t>
            </w:r>
          </w:p>
        </w:tc>
      </w:tr>
      <w:tr>
        <w:tc>
          <w:tcPr/>
          <w:p>
            <w:pPr>
              <w:pStyle w:val="Compact"/>
              <w:jc w:val="left"/>
            </w:pPr>
            <w:r>
              <w:rPr>
                <w:rStyle w:val="VerbatimChar"/>
              </w:rPr>
              <w:t xml:space="preserve">n</w:t>
            </w:r>
          </w:p>
        </w:tc>
        <w:tc>
          <w:tcPr/>
          <w:p>
            <w:pPr>
              <w:pStyle w:val="Compact"/>
              <w:jc w:val="left"/>
            </w:pPr>
            <w:r>
              <w:t xml:space="preserve">Number of items used to calculate the</w:t>
            </w:r>
            <w:r>
              <w:t xml:space="preserve"> </w:t>
            </w:r>
            <m:oMath>
              <m:r>
                <m:t>D</m:t>
              </m:r>
            </m:oMath>
            <w:r>
              <w:t xml:space="preserve">-score</w:t>
            </w:r>
          </w:p>
        </w:tc>
      </w:tr>
      <w:tr>
        <w:tc>
          <w:tcPr/>
          <w:p>
            <w:pPr>
              <w:pStyle w:val="Compact"/>
              <w:jc w:val="left"/>
            </w:pPr>
            <w:r>
              <w:rPr>
                <w:rStyle w:val="VerbatimChar"/>
              </w:rPr>
              <w:t xml:space="preserve">p</w:t>
            </w:r>
          </w:p>
        </w:tc>
        <w:tc>
          <w:tcPr/>
          <w:p>
            <w:pPr>
              <w:pStyle w:val="Compact"/>
              <w:jc w:val="left"/>
            </w:pPr>
            <w:r>
              <w:t xml:space="preserve">Percentage of passed milestones</w:t>
            </w:r>
          </w:p>
        </w:tc>
      </w:tr>
      <w:tr>
        <w:tc>
          <w:tcPr/>
          <w:p>
            <w:pPr>
              <w:pStyle w:val="Compact"/>
              <w:jc w:val="left"/>
            </w:pPr>
            <w:r>
              <w:rPr>
                <w:rStyle w:val="VerbatimChar"/>
              </w:rPr>
              <w:t xml:space="preserve">d</w:t>
            </w:r>
          </w:p>
        </w:tc>
        <w:tc>
          <w:tcPr/>
          <w:p>
            <w:pPr>
              <w:pStyle w:val="Compact"/>
              <w:jc w:val="left"/>
            </w:pPr>
            <m:oMath>
              <m:r>
                <m:t>D</m:t>
              </m:r>
            </m:oMath>
            <w:r>
              <w:t xml:space="preserve">-score estimate, EAP estimate</w:t>
            </w:r>
          </w:p>
        </w:tc>
      </w:tr>
      <w:tr>
        <w:tc>
          <w:tcPr/>
          <w:p>
            <w:pPr>
              <w:pStyle w:val="Compact"/>
              <w:jc w:val="left"/>
            </w:pPr>
            <w:r>
              <w:rPr>
                <w:rStyle w:val="VerbatimChar"/>
              </w:rPr>
              <w:t xml:space="preserve">sem</w:t>
            </w:r>
          </w:p>
        </w:tc>
        <w:tc>
          <w:tcPr/>
          <w:p>
            <w:pPr>
              <w:pStyle w:val="Compact"/>
              <w:jc w:val="left"/>
            </w:pPr>
            <w:r>
              <w:t xml:space="preserve">Standard error of measurement, standard deviation of the posterior</w:t>
            </w:r>
          </w:p>
        </w:tc>
      </w:tr>
      <w:tr>
        <w:tc>
          <w:tcPr/>
          <w:p>
            <w:pPr>
              <w:pStyle w:val="Compact"/>
              <w:jc w:val="left"/>
            </w:pPr>
            <w:r>
              <w:rPr>
                <w:rStyle w:val="VerbatimChar"/>
              </w:rPr>
              <w:t xml:space="preserve">daz</w:t>
            </w:r>
          </w:p>
        </w:tc>
        <w:tc>
          <w:tcPr/>
          <w:p>
            <w:pPr>
              <w:pStyle w:val="Compact"/>
              <w:jc w:val="left"/>
            </w:pPr>
            <m:oMath>
              <m:r>
                <m:t>D</m:t>
              </m:r>
            </m:oMath>
            <w:r>
              <w:t xml:space="preserve">-score corrected for age</w:t>
            </w:r>
          </w:p>
        </w:tc>
      </w:tr>
    </w:tbl>
    <w:p>
      <w:pPr>
        <w:pStyle w:val="BodyText"/>
      </w:pPr>
      <w:r>
        <w:t xml:space="preserve">Calculation of the</w:t>
      </w:r>
      <w:r>
        <w:t xml:space="preserve"> </w:t>
      </w:r>
      <m:oMath>
        <m:r>
          <m:t>D</m:t>
        </m:r>
      </m:oMath>
      <w:r>
        <w:t xml:space="preserve">-score for the GSED LF is similar:</w:t>
      </w:r>
    </w:p>
    <w:p>
      <w:pPr>
        <w:pStyle w:val="SourceCode"/>
      </w:pPr>
      <w:r>
        <w:rPr>
          <w:rStyle w:val="CommentTok"/>
        </w:rPr>
        <w:t xml:space="preserve"># calculate D-score for LF</w:t>
      </w:r>
      <w:r>
        <w:br/>
      </w:r>
      <w:r>
        <w:rPr>
          <w:rStyle w:val="NormalTok"/>
        </w:rPr>
        <w:t xml:space="preserve">lf </w:t>
      </w:r>
      <w:r>
        <w:rPr>
          <w:rStyle w:val="OtherTok"/>
        </w:rPr>
        <w:t xml:space="preserve">&lt;-</w:t>
      </w:r>
      <w:r>
        <w:rPr>
          <w:rStyle w:val="NormalTok"/>
        </w:rPr>
        <w:t xml:space="preserve"> </w:t>
      </w:r>
      <w:r>
        <w:rPr>
          <w:rStyle w:val="FunctionTok"/>
        </w:rPr>
        <w:t xml:space="preserve">dscore</w:t>
      </w:r>
      <w:r>
        <w:rPr>
          <w:rStyle w:val="NormalTok"/>
        </w:rPr>
        <w:t xml:space="preserve">(gsample, </w:t>
      </w:r>
      <w:r>
        <w:rPr>
          <w:rStyle w:val="AttributeTok"/>
        </w:rPr>
        <w:t xml:space="preserve">items =</w:t>
      </w:r>
      <w:r>
        <w:rPr>
          <w:rStyle w:val="NormalTok"/>
        </w:rPr>
        <w:t xml:space="preserve"> items_gto, </w:t>
      </w:r>
      <w:r>
        <w:rPr>
          <w:rStyle w:val="AttributeTok"/>
        </w:rPr>
        <w:t xml:space="preserve">xname =</w:t>
      </w:r>
      <w:r>
        <w:rPr>
          <w:rStyle w:val="NormalTok"/>
        </w:rPr>
        <w:t xml:space="preserve"> </w:t>
      </w:r>
      <w:r>
        <w:rPr>
          <w:rStyle w:val="StringTok"/>
        </w:rPr>
        <w:t xml:space="preserve">"agedays"</w:t>
      </w:r>
      <w:r>
        <w:rPr>
          <w:rStyle w:val="NormalTok"/>
        </w:rPr>
        <w:t xml:space="preserve">, </w:t>
      </w:r>
      <w:r>
        <w:rPr>
          <w:rStyle w:val="AttributeTok"/>
        </w:rPr>
        <w:t xml:space="preserve">xunit =</w:t>
      </w:r>
      <w:r>
        <w:rPr>
          <w:rStyle w:val="NormalTok"/>
        </w:rPr>
        <w:t xml:space="preserve"> </w:t>
      </w:r>
      <w:r>
        <w:rPr>
          <w:rStyle w:val="StringTok"/>
        </w:rPr>
        <w:t xml:space="preserve">"days"</w:t>
      </w:r>
      <w:r>
        <w:rPr>
          <w:rStyle w:val="NormalTok"/>
        </w:rPr>
        <w:t xml:space="preserve">)</w:t>
      </w:r>
      <w:r>
        <w:br/>
      </w:r>
      <w:r>
        <w:rPr>
          <w:rStyle w:val="FunctionTok"/>
        </w:rPr>
        <w:t xml:space="preserve">head</w:t>
      </w:r>
      <w:r>
        <w:rPr>
          <w:rStyle w:val="NormalTok"/>
        </w:rPr>
        <w:t xml:space="preserve">(lf)</w:t>
      </w:r>
    </w:p>
    <w:p>
      <w:pPr>
        <w:pStyle w:val="SourceCode"/>
      </w:pPr>
      <w:r>
        <w:rPr>
          <w:rStyle w:val="VerbatimChar"/>
        </w:rPr>
        <w:t xml:space="preserve">##       a  n     p    d   sem    daz</w:t>
      </w:r>
      <w:r>
        <w:br/>
      </w:r>
      <w:r>
        <w:rPr>
          <w:rStyle w:val="VerbatimChar"/>
        </w:rPr>
        <w:t xml:space="preserve">## 1 2.220 45 0.556 67.0 0.627  0.097</w:t>
      </w:r>
      <w:r>
        <w:br/>
      </w:r>
      <w:r>
        <w:rPr>
          <w:rStyle w:val="VerbatimChar"/>
        </w:rPr>
        <w:t xml:space="preserve">## 2 2.459 53 0.623 70.8 0.569  0.552</w:t>
      </w:r>
      <w:r>
        <w:br/>
      </w:r>
      <w:r>
        <w:rPr>
          <w:rStyle w:val="VerbatimChar"/>
        </w:rPr>
        <w:t xml:space="preserve">## 3 0.556 34 0.559 34.1 0.840 -0.153</w:t>
      </w:r>
      <w:r>
        <w:br/>
      </w:r>
      <w:r>
        <w:rPr>
          <w:rStyle w:val="VerbatimChar"/>
        </w:rPr>
        <w:t xml:space="preserve">## 4 2.645 54 0.518 70.6 0.545  0.053</w:t>
      </w:r>
      <w:r>
        <w:br/>
      </w:r>
      <w:r>
        <w:rPr>
          <w:rStyle w:val="VerbatimChar"/>
        </w:rPr>
        <w:t xml:space="preserve">## 5 2.108 58 0.172 37.5 1.194 -4.448</w:t>
      </w:r>
      <w:r>
        <w:br/>
      </w:r>
      <w:r>
        <w:rPr>
          <w:rStyle w:val="VerbatimChar"/>
        </w:rPr>
        <w:t xml:space="preserve">## 6 0.838 32 0.562 44.9 0.764  0.315</w:t>
      </w:r>
    </w:p>
    <w:p>
      <w:pPr>
        <w:pStyle w:val="FirstParagraph"/>
      </w:pPr>
      <w:r>
        <w:t xml:space="preserve">In general, the</w:t>
      </w:r>
      <w:r>
        <w:t xml:space="preserve"> </w:t>
      </w:r>
      <m:oMath>
        <m:r>
          <m:t>D</m:t>
        </m:r>
      </m:oMath>
      <w:r>
        <w:t xml:space="preserve">-score from SF and LF may differ by a few points, but in exceptional cases (e.g. for row 5) the difference can be large.</w:t>
      </w:r>
    </w:p>
    <w:p>
      <w:pPr>
        <w:pStyle w:val="BodyText"/>
      </w:pPr>
      <w:r>
        <w:t xml:space="preserve">It is possible to calculate</w:t>
      </w:r>
      <w:r>
        <w:t xml:space="preserve"> </w:t>
      </w:r>
      <m:oMath>
        <m:r>
          <m:t>D</m:t>
        </m:r>
      </m:oMath>
      <w:r>
        <w:t xml:space="preserve">-score for item subsets by tweaking the</w:t>
      </w:r>
      <w:r>
        <w:t xml:space="preserve"> </w:t>
      </w:r>
      <w:r>
        <w:rPr>
          <w:rStyle w:val="VerbatimChar"/>
        </w:rPr>
        <w:t xml:space="preserve">items</w:t>
      </w:r>
      <w:r>
        <w:t xml:space="preserve"> </w:t>
      </w:r>
      <w:r>
        <w:t xml:space="preserve">argument. If you do not provide the</w:t>
      </w:r>
      <w:r>
        <w:t xml:space="preserve"> </w:t>
      </w:r>
      <w:r>
        <w:rPr>
          <w:rStyle w:val="VerbatimChar"/>
        </w:rPr>
        <w:t xml:space="preserve">items</w:t>
      </w:r>
      <w:r>
        <w:t xml:space="preserve"> </w:t>
      </w:r>
      <w:r>
        <w:t xml:space="preserve">argument, then the</w:t>
      </w:r>
      <w:r>
        <w:t xml:space="preserve"> </w:t>
      </w:r>
      <m:oMath>
        <m:r>
          <m:t>D</m:t>
        </m:r>
      </m:oMath>
      <w:r>
        <w:t xml:space="preserve">-score is calculated from all items available (here GSED SF and GSED LF). For example,</w:t>
      </w:r>
    </w:p>
    <w:p>
      <w:pPr>
        <w:pStyle w:val="SourceCode"/>
      </w:pPr>
      <w:r>
        <w:rPr>
          <w:rStyle w:val="CommentTok"/>
        </w:rPr>
        <w:t xml:space="preserve"># calculate D-score from all available items from all instruments</w:t>
      </w:r>
      <w:r>
        <w:br/>
      </w:r>
      <w:r>
        <w:rPr>
          <w:rStyle w:val="FunctionTok"/>
        </w:rPr>
        <w:t xml:space="preserve">head</w:t>
      </w:r>
      <w:r>
        <w:rPr>
          <w:rStyle w:val="NormalTok"/>
        </w:rPr>
        <w:t xml:space="preserve">(</w:t>
      </w:r>
      <w:r>
        <w:rPr>
          <w:rStyle w:val="FunctionTok"/>
        </w:rPr>
        <w:t xml:space="preserve">dscore</w:t>
      </w:r>
      <w:r>
        <w:rPr>
          <w:rStyle w:val="NormalTok"/>
        </w:rPr>
        <w:t xml:space="preserve">(gsample, </w:t>
      </w:r>
      <w:r>
        <w:rPr>
          <w:rStyle w:val="AttributeTok"/>
        </w:rPr>
        <w:t xml:space="preserve">xname =</w:t>
      </w:r>
      <w:r>
        <w:rPr>
          <w:rStyle w:val="NormalTok"/>
        </w:rPr>
        <w:t xml:space="preserve"> </w:t>
      </w:r>
      <w:r>
        <w:rPr>
          <w:rStyle w:val="StringTok"/>
        </w:rPr>
        <w:t xml:space="preserve">"agedays"</w:t>
      </w:r>
      <w:r>
        <w:rPr>
          <w:rStyle w:val="NormalTok"/>
        </w:rPr>
        <w:t xml:space="preserve">, </w:t>
      </w:r>
      <w:r>
        <w:rPr>
          <w:rStyle w:val="AttributeTok"/>
        </w:rPr>
        <w:t xml:space="preserve">xunit =</w:t>
      </w:r>
      <w:r>
        <w:rPr>
          <w:rStyle w:val="NormalTok"/>
        </w:rPr>
        <w:t xml:space="preserve"> </w:t>
      </w:r>
      <w:r>
        <w:rPr>
          <w:rStyle w:val="StringTok"/>
        </w:rPr>
        <w:t xml:space="preserve">"days"</w:t>
      </w:r>
      <w:r>
        <w:rPr>
          <w:rStyle w:val="NormalTok"/>
        </w:rPr>
        <w:t xml:space="preserve">))</w:t>
      </w:r>
    </w:p>
    <w:p>
      <w:pPr>
        <w:pStyle w:val="SourceCode"/>
      </w:pPr>
      <w:r>
        <w:rPr>
          <w:rStyle w:val="VerbatimChar"/>
        </w:rPr>
        <w:t xml:space="preserve">##       a   n     p    d     sem    daz</w:t>
      </w:r>
      <w:r>
        <w:br/>
      </w:r>
      <w:r>
        <w:rPr>
          <w:rStyle w:val="VerbatimChar"/>
        </w:rPr>
        <w:t xml:space="preserve">## 1 2.220  74 0.635 66.3 0.51223 -0.121</w:t>
      </w:r>
      <w:r>
        <w:br/>
      </w:r>
      <w:r>
        <w:rPr>
          <w:rStyle w:val="VerbatimChar"/>
        </w:rPr>
        <w:t xml:space="preserve">## 2 2.459  92 0.652 70.0 0.38267  0.296</w:t>
      </w:r>
      <w:r>
        <w:br/>
      </w:r>
      <w:r>
        <w:rPr>
          <w:rStyle w:val="VerbatimChar"/>
        </w:rPr>
        <w:t xml:space="preserve">## 3 0.556  84 0.619 36.0 0.58301  0.365</w:t>
      </w:r>
      <w:r>
        <w:br/>
      </w:r>
      <w:r>
        <w:rPr>
          <w:rStyle w:val="VerbatimChar"/>
        </w:rPr>
        <w:t xml:space="preserve">## 4 2.645  90 0.611 71.7 0.46082  0.383</w:t>
      </w:r>
      <w:r>
        <w:br/>
      </w:r>
      <w:r>
        <w:rPr>
          <w:rStyle w:val="VerbatimChar"/>
        </w:rPr>
        <w:t xml:space="preserve">## 5 2.108 108 0.324 45.0 0.00006 -3.837</w:t>
      </w:r>
      <w:r>
        <w:br/>
      </w:r>
      <w:r>
        <w:rPr>
          <w:rStyle w:val="VerbatimChar"/>
        </w:rPr>
        <w:t xml:space="preserve">## 6 0.838  82 0.646 43.6 0.64544 -0.061</w:t>
      </w:r>
    </w:p>
    <w:bookmarkEnd w:id="28"/>
    <w:bookmarkStart w:id="32" w:name="phase-1-references-and-daz"/>
    <w:p>
      <w:pPr>
        <w:pStyle w:val="Heading3"/>
      </w:pPr>
      <w:r>
        <w:t xml:space="preserve">Phase 1 references and DAZ</w:t>
      </w:r>
    </w:p>
    <w:p>
      <w:pPr>
        <w:pStyle w:val="FirstParagraph"/>
      </w:pPr>
      <w:r>
        <w:t xml:space="preserve">We used the GSED Phase I data to calculate age-conditional reference scores for the</w:t>
      </w:r>
      <w:r>
        <w:t xml:space="preserve"> </w:t>
      </w:r>
      <m:oMath>
        <m:r>
          <m:t>D</m:t>
        </m:r>
      </m:oMath>
      <w:r>
        <w:t xml:space="preserve">-score. The references are based on about 12,000 administration of the GSED SF and GSED LF from Bangla Desh, Pakistan and Tanzania. We may extract the references as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ref </w:t>
      </w:r>
      <w:r>
        <w:rPr>
          <w:rStyle w:val="OtherTok"/>
        </w:rPr>
        <w:t xml:space="preserve">&lt;-</w:t>
      </w:r>
      <w:r>
        <w:rPr>
          <w:rStyle w:val="NormalTok"/>
        </w:rPr>
        <w:t xml:space="preserve"> builtin_references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 </w:t>
      </w:r>
      <w:r>
        <w:rPr>
          <w:rStyle w:val="SpecialCharTok"/>
        </w:rPr>
        <w:t xml:space="preserve">==</w:t>
      </w:r>
      <w:r>
        <w:rPr>
          <w:rStyle w:val="NormalTok"/>
        </w:rPr>
        <w:t xml:space="preserve"> </w:t>
      </w:r>
      <w:r>
        <w:rPr>
          <w:rStyle w:val="StringTok"/>
        </w:rPr>
        <w:t xml:space="preserve">"phase1"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(pop, age, mu, sigma, nu, tau, SDM2, SD0, SDP2)</w:t>
      </w:r>
      <w:r>
        <w:br/>
      </w:r>
      <w:r>
        <w:rPr>
          <w:rStyle w:val="FunctionTok"/>
        </w:rPr>
        <w:t xml:space="preserve">head</w:t>
      </w:r>
      <w:r>
        <w:rPr>
          <w:rStyle w:val="NormalTok"/>
        </w:rPr>
        <w:t xml:space="preserve">(ref)</w:t>
      </w:r>
    </w:p>
    <w:p>
      <w:pPr>
        <w:pStyle w:val="SourceCode"/>
      </w:pPr>
      <w:r>
        <w:rPr>
          <w:rStyle w:val="VerbatimChar"/>
        </w:rPr>
        <w:t xml:space="preserve">##      pop    age   mu sigma   nu  tau SDM2  SD0 SDP2</w:t>
      </w:r>
      <w:r>
        <w:br/>
      </w:r>
      <w:r>
        <w:rPr>
          <w:rStyle w:val="VerbatimChar"/>
        </w:rPr>
        <w:t xml:space="preserve">## 1 phase1 0.0383 13.7 0.246 1.17 15.4 6.04 13.7 20.7</w:t>
      </w:r>
      <w:r>
        <w:br/>
      </w:r>
      <w:r>
        <w:rPr>
          <w:rStyle w:val="VerbatimChar"/>
        </w:rPr>
        <w:t xml:space="preserve">## 2 phase1 0.0575 14.4 0.232 1.21 15.5 6.70 14.4 21.3</w:t>
      </w:r>
      <w:r>
        <w:br/>
      </w:r>
      <w:r>
        <w:rPr>
          <w:rStyle w:val="VerbatimChar"/>
        </w:rPr>
        <w:t xml:space="preserve">## 3 phase1 0.0767 15.0 0.221 1.24 15.7 7.35 15.0 21.9</w:t>
      </w:r>
      <w:r>
        <w:br/>
      </w:r>
      <w:r>
        <w:rPr>
          <w:rStyle w:val="VerbatimChar"/>
        </w:rPr>
        <w:t xml:space="preserve">## 4 phase1 0.0958 15.7 0.210 1.27 15.8 8.01 15.7 22.5</w:t>
      </w:r>
      <w:r>
        <w:br/>
      </w:r>
      <w:r>
        <w:rPr>
          <w:rStyle w:val="VerbatimChar"/>
        </w:rPr>
        <w:t xml:space="preserve">## 5 phase1 0.1150 16.4 0.201 1.30 15.9 8.68 16.4 23.1</w:t>
      </w:r>
      <w:r>
        <w:br/>
      </w:r>
      <w:r>
        <w:rPr>
          <w:rStyle w:val="VerbatimChar"/>
        </w:rPr>
        <w:t xml:space="preserve">## 6 phase1 0.1342 17.0 0.192 1.32 16.0 9.36 17.0 23.7</w:t>
      </w:r>
    </w:p>
    <w:p>
      <w:pPr>
        <w:pStyle w:val="FirstParagraph"/>
      </w:pPr>
      <w:r>
        <w:t xml:space="preserve">The columns</w:t>
      </w:r>
      <w:r>
        <w:t xml:space="preserve"> </w:t>
      </w:r>
      <w:r>
        <w:rPr>
          <w:rStyle w:val="VerbatimChar"/>
        </w:rPr>
        <w:t xml:space="preserve">mu</w:t>
      </w:r>
      <w:r>
        <w:t xml:space="preserve">,</w:t>
      </w:r>
      <w:r>
        <w:t xml:space="preserve"> </w:t>
      </w:r>
      <w:r>
        <w:rPr>
          <w:rStyle w:val="VerbatimChar"/>
        </w:rPr>
        <w:t xml:space="preserve">sigma</w:t>
      </w:r>
      <w:r>
        <w:t xml:space="preserve">,</w:t>
      </w:r>
      <w:r>
        <w:t xml:space="preserve"> </w:t>
      </w:r>
      <w:r>
        <w:rPr>
          <w:rStyle w:val="VerbatimChar"/>
        </w:rPr>
        <w:t xml:space="preserve">nu</w:t>
      </w:r>
      <w:r>
        <w:t xml:space="preserve"> </w:t>
      </w:r>
      <w:r>
        <w:t xml:space="preserve">and</w:t>
      </w:r>
      <w:r>
        <w:t xml:space="preserve"> </w:t>
      </w:r>
      <w:r>
        <w:rPr>
          <w:rStyle w:val="VerbatimChar"/>
        </w:rPr>
        <w:t xml:space="preserve">tau</w:t>
      </w:r>
      <w:r>
        <w:t xml:space="preserve"> </w:t>
      </w:r>
      <w:r>
        <w:t xml:space="preserve">are the age-varying parameters of a Box-Cox</w:t>
      </w:r>
      <w:r>
        <w:t xml:space="preserve"> </w:t>
      </w:r>
      <m:oMath>
        <m:r>
          <m:t>t</m:t>
        </m:r>
      </m:oMath>
      <w:r>
        <w:t xml:space="preserve"> </w:t>
      </w:r>
      <w:r>
        <w:t xml:space="preserve">(BCT) distribution.</w:t>
      </w:r>
    </w:p>
    <w:p>
      <w:pPr>
        <w:pStyle w:val="BodyText"/>
      </w:pPr>
      <w:r>
        <w:t xml:space="preserve">The figure below plots the -2SD, 0SD and +2SD centiles plus 20</w:t>
      </w:r>
      <w:r>
        <w:t xml:space="preserve"> </w:t>
      </w:r>
      <m:oMath>
        <m:r>
          <m:t>D</m:t>
        </m:r>
      </m:oMath>
      <w:r>
        <w:t xml:space="preserve">-scores (10 LF and 10 SF) for the</w:t>
      </w:r>
      <w:r>
        <w:t xml:space="preserve"> </w:t>
      </w:r>
      <w:r>
        <w:rPr>
          <w:rStyle w:val="VerbatimChar"/>
        </w:rPr>
        <w:t xml:space="preserve">gsample</w:t>
      </w:r>
      <w:r>
        <w:t xml:space="preserve"> </w:t>
      </w:r>
      <w:r>
        <w:t xml:space="preserve">data.</w:t>
      </w:r>
    </w:p>
    <w:p>
      <w:pPr>
        <w:pStyle w:val="BodyText"/>
      </w:pPr>
      <w:r>
        <w:drawing>
          <wp:inline>
            <wp:extent cx="5334000" cy="2667000"/>
            <wp:effectExtent b="0" l="0" r="0" t="0"/>
            <wp:docPr descr="" title="" id="30" name="Picture"/>
            <a:graphic>
              <a:graphicData uri="http://schemas.openxmlformats.org/drawingml/2006/picture">
                <pic:pic>
                  <pic:nvPicPr>
                    <pic:cNvPr descr="20221024_scoring_files/figure-docx/unnamed-chunk-11-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s://CRAN.R-project.org/package=dscore" TargetMode="External" /><Relationship Type="http://schemas.openxmlformats.org/officeDocument/2006/relationships/hyperlink" Id="rId24" Target="https://github.com/" TargetMode="External" /><Relationship Type="http://schemas.openxmlformats.org/officeDocument/2006/relationships/hyperlink" Id="rId22" Target="https://support.rstudio.com/hc/en-us/articles/201141096-Getting-Started-with-R" TargetMode="External" /><Relationship Type="http://schemas.openxmlformats.org/officeDocument/2006/relationships/hyperlink" Id="rId20" Target="https://tnochildhealthstatistics.shinyapps.io/dcalculator/" TargetMode="External" /></Relationships>
</file>

<file path=word/_rels/footnotes.xml.rels><?xml version="1.0" encoding="UTF-8"?><Relationships xmlns="http://schemas.openxmlformats.org/package/2006/relationships"><Relationship Type="http://schemas.openxmlformats.org/officeDocument/2006/relationships/hyperlink" Id="rId21" Target="https://CRAN.R-project.org/package=dscore" TargetMode="External" /><Relationship Type="http://schemas.openxmlformats.org/officeDocument/2006/relationships/hyperlink" Id="rId24" Target="https://github.com/" TargetMode="External" /><Relationship Type="http://schemas.openxmlformats.org/officeDocument/2006/relationships/hyperlink" Id="rId22" Target="https://support.rstudio.com/hc/en-us/articles/201141096-Getting-Started-with-R" TargetMode="External" /><Relationship Type="http://schemas.openxmlformats.org/officeDocument/2006/relationships/hyperlink" Id="rId20" Target="https://tnochildhealthstatistics.shinyapps.io/dcalcu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 H Scoring</dc:title>
  <dc:creator>Stef van Buuren</dc:creator>
  <cp:keywords/>
  <dcterms:created xsi:type="dcterms:W3CDTF">2022-10-27T11:53:43Z</dcterms:created>
  <dcterms:modified xsi:type="dcterms:W3CDTF">2022-10-27T11:53:43Z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20221027</vt:lpwstr>
  </property>
  <property fmtid="{D5CDD505-2E9C-101B-9397-08002B2CF9AE}" pid="3" name="output">
    <vt:lpwstr/>
  </property>
</Properties>
</file>