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Tools Engineering Design Manual</w:t>
      </w:r>
    </w:p>
    <w:p>
      <w:pPr>
        <w:pStyle w:val="Subtitle"/>
      </w:pPr>
      <w:r>
        <w:t xml:space="preserve">Governed Shared Calculations and Interchange Pathways</w:t>
      </w:r>
    </w:p>
    <w:bookmarkStart w:id="19" w:name="release-status"/>
    <w:p>
      <w:pPr>
        <w:pStyle w:val="Heading1"/>
      </w:pPr>
      <w:r>
        <w:t xml:space="preserve">Release Status</w:t>
      </w:r>
    </w:p>
    <w:p>
      <w:pPr>
        <w:pStyle w:val="FirstParagraph"/>
      </w:pPr>
      <w:r>
        <w:t xml:space="preserve">This is the canonical editable QMD source for the Tools engineering design</w:t>
      </w:r>
      <w:r>
        <w:t xml:space="preserve"> </w:t>
      </w:r>
      <w:r>
        <w:t xml:space="preserve">manual. It is a governance scaffold, not a released engineering manual. The</w:t>
      </w:r>
      <w:r>
        <w:t xml:space="preserve"> </w:t>
      </w:r>
      <w:r>
        <w:t xml:space="preserve">file-level module inventory is complete for its declared tracked-source</w:t>
      </w:r>
      <w:r>
        <w:t xml:space="preserve"> </w:t>
      </w:r>
      <w:r>
        <w:t xml:space="preserve">denominator; it is awaiting regeneration for the #5503 source additions and is</w:t>
      </w:r>
      <w:r>
        <w:t xml:space="preserve"> </w:t>
      </w:r>
      <w:r>
        <w:t xml:space="preserve">not treated as current for this change. TOOLS-D4 registers one</w:t>
      </w:r>
      <w:r>
        <w:t xml:space="preserve"> </w:t>
      </w:r>
      <w:r>
        <w:t xml:space="preserve">model-conditioned D-plane calculation and</w:t>
      </w:r>
      <w:r>
        <w:t xml:space="preserve"> </w:t>
      </w:r>
      <w:r>
        <w:t xml:space="preserve">one swing/Rate-of-Closure textbook exemplar with exact source, consumer, test,</w:t>
      </w:r>
      <w:r>
        <w:t xml:space="preserve"> </w:t>
      </w:r>
      <w:r>
        <w:t xml:space="preserve">fixture, equation, unit, and limitation traceability. The markerless-mocap</w:t>
      </w:r>
      <w:r>
        <w:t xml:space="preserve"> </w:t>
      </w:r>
      <w:r>
        <w:t xml:space="preserve">exemplar remains explicitly blocked because its authority PR is unmerged and no</w:t>
      </w:r>
      <w:r>
        <w:t xml:space="preserve"> </w:t>
      </w:r>
      <w:r>
        <w:t xml:space="preserve">markerless module exists on this exact source base. Release remains blocked by</w:t>
      </w:r>
      <w:r>
        <w:t xml:space="preserve"> </w:t>
      </w:r>
      <w:r>
        <w:t xml:space="preserve">TOOLS-D5 through TOOLS-D9 and outstanding D4 approvals. Generated HTML, LaTeX,</w:t>
      </w:r>
      <w:r>
        <w:t xml:space="preserve"> </w:t>
      </w:r>
      <w:r>
        <w:t xml:space="preserve">PDF, and DOCX artifacts are reproducible engineering records under TOOLS-D2,</w:t>
      </w:r>
      <w:r>
        <w:t xml:space="preserve"> </w:t>
      </w:r>
      <w:r>
        <w:t xml:space="preserve">but none is approved for publication or engineering use.</w:t>
      </w:r>
    </w:p>
    <w:p>
      <w:pPr>
        <w:pStyle w:val="BodyText"/>
      </w:pPr>
      <w:r>
        <w:t xml:space="preserve">Chapter 06 is an included, unregistered numerical-kernel note for</w:t>
      </w:r>
      <w:r>
        <w:t xml:space="preserve"> </w:t>
      </w:r>
      <w:r>
        <w:t xml:space="preserve">triangle-multiset lamina moments. It is not a governed calculation or exemplar:</w:t>
      </w:r>
      <w:r>
        <w:t xml:space="preserve"> </w:t>
      </w:r>
      <w:r>
        <w:t xml:space="preserve">the current freshness generator does not execute this pathway, and no source</w:t>
      </w:r>
      <w:r>
        <w:t xml:space="preserve"> </w:t>
      </w:r>
      <w:r>
        <w:t xml:space="preserve">mesh/consumer admission or scientific review is supplied.</w:t>
      </w:r>
    </w:p>
    <w:bookmarkEnd w:id="19"/>
    <w:bookmarkStart w:id="26" w:name="Xf12f58c1711af855ddd641b7af687a507161bd0"/>
    <w:p>
      <w:pPr>
        <w:pStyle w:val="Heading1"/>
      </w:pPr>
      <w:r>
        <w:t xml:space="preserve">Documentation Authority and Release Boundary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manual will explain shared calculations and interchange contracts from</w:t>
      </w:r>
      <w:r>
        <w:t xml:space="preserve"> </w:t>
      </w:r>
      <w:r>
        <w:t xml:space="preserve">theory and assumptions through typed inputs, units, coordinate and time</w:t>
      </w:r>
      <w:r>
        <w:t xml:space="preserve"> </w:t>
      </w:r>
      <w:r>
        <w:t xml:space="preserve">conventions, algorithms, implementation symbols, tests, uncertainty,</w:t>
      </w:r>
      <w:r>
        <w:t xml:space="preserve"> </w:t>
      </w:r>
      <w:r>
        <w:t xml:space="preserve">limitations, consumer surfaces, and artifacts. Tools source and evidence remain</w:t>
      </w:r>
      <w:r>
        <w:t xml:space="preserve"> </w:t>
      </w:r>
      <w:r>
        <w:t xml:space="preserve">authoritative; the manual cannot approve a calculation that its owning source,</w:t>
      </w:r>
      <w:r>
        <w:t xml:space="preserve"> </w:t>
      </w:r>
      <w:r>
        <w:t xml:space="preserve">evidence, license, or human review has not approved.</w:t>
      </w:r>
    </w:p>
    <w:bookmarkEnd w:id="20"/>
    <w:bookmarkStart w:id="21" w:name="canonical-source"/>
    <w:p>
      <w:pPr>
        <w:pStyle w:val="Heading2"/>
      </w:pPr>
      <w:r>
        <w:t xml:space="preserve">Canonical Source</w:t>
      </w:r>
    </w:p>
    <w:p>
      <w:pPr>
        <w:pStyle w:val="FirstParagraph"/>
      </w:pPr>
      <w:r>
        <w:t xml:space="preserve">Only QMD under</w:t>
      </w:r>
      <w:r>
        <w:t xml:space="preserve"> </w:t>
      </w:r>
      <w:r>
        <w:rPr>
          <w:rStyle w:val="VerbatimChar"/>
        </w:rPr>
        <w:t xml:space="preserve">manuals/tools</w:t>
      </w:r>
      <w:r>
        <w:t xml:space="preserve"> </w:t>
      </w:r>
      <w:r>
        <w:t xml:space="preserve">is editable manual source. Existing user guides,</w:t>
      </w:r>
      <w:r>
        <w:t xml:space="preserve"> </w:t>
      </w:r>
      <w:r>
        <w:t xml:space="preserve">ADRs, package documentation, generated API references, and publications are</w:t>
      </w:r>
      <w:r>
        <w:t xml:space="preserve"> </w:t>
      </w:r>
      <w:r>
        <w:t xml:space="preserve">separate governed products. They can supply reviewed references, but none is a</w:t>
      </w:r>
      <w:r>
        <w:t xml:space="preserve"> </w:t>
      </w:r>
      <w:r>
        <w:t xml:space="preserve">second mutable source for this manual.</w:t>
      </w:r>
    </w:p>
    <w:p>
      <w:pPr>
        <w:pStyle w:val="BodyText"/>
      </w:pPr>
      <w:r>
        <w:t xml:space="preserve">Generated LaTeX, PDF, DOCX, and HTML are non-editable artifacts. A correction</w:t>
      </w:r>
      <w:r>
        <w:t xml:space="preserve"> </w:t>
      </w:r>
      <w:r>
        <w:t xml:space="preserve">starts in canonical QMD, then regenerates every affected representation through</w:t>
      </w:r>
      <w:r>
        <w:t xml:space="preserve"> </w:t>
      </w:r>
      <w:r>
        <w:t xml:space="preserve">the qualified toolchain. TOOLS-D2 owns that toolchain; TOOLS-D7 and TOOLS-D8</w:t>
      </w:r>
      <w:r>
        <w:t xml:space="preserve"> </w:t>
      </w:r>
      <w:r>
        <w:t xml:space="preserve">own artifact review and publication evidence.</w:t>
      </w:r>
    </w:p>
    <w:bookmarkEnd w:id="21"/>
    <w:bookmarkStart w:id="22" w:name="evidence-and-license-classes"/>
    <w:p>
      <w:pPr>
        <w:pStyle w:val="Heading2"/>
      </w:pPr>
      <w:r>
        <w:t xml:space="preserve">Evidence and License Classes</w:t>
      </w:r>
    </w:p>
    <w:p>
      <w:pPr>
        <w:pStyle w:val="FirstParagraph"/>
      </w:pPr>
      <w:r>
        <w:t xml:space="preserve">Every calculation and claim must be classified as observed, derived,</w:t>
      </w:r>
      <w:r>
        <w:t xml:space="preserve"> </w:t>
      </w:r>
      <w:r>
        <w:t xml:space="preserve">model-scenario, external, provisional, unavailable, or approved within an</w:t>
      </w:r>
      <w:r>
        <w:t xml:space="preserve"> </w:t>
      </w:r>
      <w:r>
        <w:t xml:space="preserve">explicit scope. Every borrowed source and generated artifact must preserve its</w:t>
      </w:r>
      <w:r>
        <w:t xml:space="preserve"> </w:t>
      </w:r>
      <w:r>
        <w:t xml:space="preserve">license and attribution. Content from Tools_Private or another non-public</w:t>
      </w:r>
      <w:r>
        <w:t xml:space="preserve"> </w:t>
      </w:r>
      <w:r>
        <w:t xml:space="preserve">source may not enter this public manual without explicit public authority.</w:t>
      </w:r>
    </w:p>
    <w:bookmarkEnd w:id="22"/>
    <w:bookmarkStart w:id="23" w:name="approval-and-failure-semantics"/>
    <w:p>
      <w:pPr>
        <w:pStyle w:val="Heading2"/>
      </w:pPr>
      <w:r>
        <w:t xml:space="preserve">Approval and Failure Semantics</w:t>
      </w:r>
    </w:p>
    <w:p>
      <w:pPr>
        <w:pStyle w:val="FirstParagraph"/>
      </w:pPr>
      <w:r>
        <w:t xml:space="preserve">The default is deny-until-approved. Missing inventory coverage, source</w:t>
      </w:r>
      <w:r>
        <w:t xml:space="preserve"> </w:t>
      </w:r>
      <w:r>
        <w:t xml:space="preserve">authority, units, coordinate or time convention, implementation symbol, test,</w:t>
      </w:r>
      <w:r>
        <w:t xml:space="preserve"> </w:t>
      </w:r>
      <w:r>
        <w:t xml:space="preserve">validity range, uncertainty, license, artifact digest, page review,</w:t>
      </w:r>
      <w:r>
        <w:t xml:space="preserve"> </w:t>
      </w:r>
      <w:r>
        <w:t xml:space="preserve">accessibility review, or human approval keeps the affected item blocked.</w:t>
      </w:r>
      <w:r>
        <w:t xml:space="preserve"> </w:t>
      </w:r>
      <w:r>
        <w:t xml:space="preserve">Unsupported values are never replaced with synthetic or plausible values</w:t>
      </w:r>
      <w:r>
        <w:t xml:space="preserve"> </w:t>
      </w:r>
      <w:r>
        <w:t xml:space="preserve">without an explicit model-scenario contract.</w:t>
      </w:r>
    </w:p>
    <w:bookmarkEnd w:id="23"/>
    <w:bookmarkStart w:id="24" w:name="exemptions"/>
    <w:p>
      <w:pPr>
        <w:pStyle w:val="Heading2"/>
      </w:pPr>
      <w:r>
        <w:t xml:space="preserve">Exemptions</w:t>
      </w:r>
    </w:p>
    <w:p>
      <w:pPr>
        <w:pStyle w:val="FirstParagraph"/>
      </w:pPr>
      <w:r>
        <w:t xml:space="preserve">Freshness failures are release-blocking. The TOOLS-D1 module baseline is</w:t>
      </w:r>
      <w:r>
        <w:t xml:space="preserve"> </w:t>
      </w:r>
      <w:r>
        <w:t xml:space="preserve">recomputed from tracked implementation and governed configuration files by</w:t>
      </w:r>
      <w:r>
        <w:t xml:space="preserve"> </w:t>
      </w:r>
      <w:r>
        <w:rPr>
          <w:rStyle w:val="VerbatimChar"/>
        </w:rPr>
        <w:t xml:space="preserve">python -m scripts.build_tools_module_inventory --check</w:t>
      </w:r>
      <w:r>
        <w:t xml:space="preserve">; later TOOLS-D6 work</w:t>
      </w:r>
      <w:r>
        <w:t xml:space="preserve"> </w:t>
      </w:r>
      <w:r>
        <w:t xml:space="preserve">must extend freshness from the file baseline to stable calculation pathways.</w:t>
      </w:r>
      <w:r>
        <w:t xml:space="preserve"> </w:t>
      </w:r>
      <w:r>
        <w:t xml:space="preserve">Future exemptions must be structured, narrowly scoped, justified,</w:t>
      </w:r>
      <w:r>
        <w:t xml:space="preserve"> </w:t>
      </w:r>
      <w:r>
        <w:t xml:space="preserve">owned, reviewed, and expiring. An exemption cannot authorize an equation,</w:t>
      </w:r>
      <w:r>
        <w:t xml:space="preserve"> </w:t>
      </w:r>
      <w:r>
        <w:t xml:space="preserve">scientific claim, artifact, operating use, license transfer, or public</w:t>
      </w:r>
      <w:r>
        <w:t xml:space="preserve"> </w:t>
      </w:r>
      <w:r>
        <w:t xml:space="preserve">projection.</w:t>
      </w:r>
    </w:p>
    <w:bookmarkEnd w:id="24"/>
    <w:bookmarkStart w:id="25" w:name="current-boundary"/>
    <w:p>
      <w:pPr>
        <w:pStyle w:val="Heading2"/>
      </w:pPr>
      <w:r>
        <w:t xml:space="preserve">Current Boundary</w:t>
      </w:r>
    </w:p>
    <w:p>
      <w:pPr>
        <w:pStyle w:val="FirstParagraph"/>
      </w:pPr>
      <w:r>
        <w:t xml:space="preserve">TOOLS-D1 establishes a complete file-level denominator for its declared tracked</w:t>
      </w:r>
      <w:r>
        <w:t xml:space="preserve"> </w:t>
      </w:r>
      <w:r>
        <w:t xml:space="preserve">scope. TOOLS-D2 establishes deterministic byte reproduction and governed</w:t>
      </w:r>
      <w:r>
        <w:t xml:space="preserve"> </w:t>
      </w:r>
      <w:r>
        <w:t xml:space="preserve">semantic preservation across HTML, LaTeX, PDF, and DOCX. Its generated</w:t>
      </w:r>
      <w:r>
        <w:t xml:space="preserve"> </w:t>
      </w:r>
      <w:r>
        <w:t xml:space="preserve">artifacts remain non-editable and unapproved. The conservative inventory does</w:t>
      </w:r>
      <w:r>
        <w:t xml:space="preserve"> </w:t>
      </w:r>
      <w:r>
        <w:t xml:space="preserve">not establish stable calculation identity, equation correctness, validity</w:t>
      </w:r>
      <w:r>
        <w:t xml:space="preserve"> </w:t>
      </w:r>
      <w:r>
        <w:t xml:space="preserve">ranges, uncertainty, page/accessibility approval, or publication authority.</w:t>
      </w:r>
      <w:r>
        <w:t xml:space="preserve"> </w:t>
      </w:r>
      <w:r>
        <w:t xml:space="preserve">TOOLS-D4 registers one model-conditioned D-plane exemplar with explicit</w:t>
      </w:r>
      <w:r>
        <w:t xml:space="preserve"> </w:t>
      </w:r>
      <w:r>
        <w:t xml:space="preserve">equation-to-code-to-test evidence while retaining review-required inventory</w:t>
      </w:r>
      <w:r>
        <w:t xml:space="preserve"> </w:t>
      </w:r>
      <w:r>
        <w:t xml:space="preserve">authority. The markerless-mocap exemplar remains fail-closed because its source</w:t>
      </w:r>
      <w:r>
        <w:t xml:space="preserve"> </w:t>
      </w:r>
      <w:r>
        <w:t xml:space="preserve">dependency is unmerged. Expansion, executable freshness, review, publication,</w:t>
      </w:r>
      <w:r>
        <w:t xml:space="preserve"> </w:t>
      </w:r>
      <w:r>
        <w:t xml:space="preserve">and human approval remain blocked under TOOLS-D5 through TOOLS-D9.</w:t>
      </w:r>
    </w:p>
    <w:bookmarkEnd w:id="25"/>
    <w:bookmarkEnd w:id="26"/>
    <w:bookmarkStart w:id="31" w:name="X00697d74ddb88d267c485efd4a43b562a2d4177"/>
    <w:p>
      <w:pPr>
        <w:pStyle w:val="Heading1"/>
      </w:pPr>
      <w:r>
        <w:t xml:space="preserve">Module and Calculation-Candidate Inventory</w:t>
      </w:r>
    </w:p>
    <w:bookmarkStart w:id="27" w:name="purpose-and-denominator"/>
    <w:p>
      <w:pPr>
        <w:pStyle w:val="Heading2"/>
      </w:pPr>
      <w:r>
        <w:t xml:space="preserve">Purpose and Denominator</w:t>
      </w:r>
    </w:p>
    <w:p>
      <w:pPr>
        <w:pStyle w:val="FirstParagraph"/>
      </w:pPr>
      <w:r>
        <w:rPr>
          <w:rStyle w:val="VerbatimChar"/>
        </w:rPr>
        <w:t xml:space="preserve">manifests/module-inventory.json</w:t>
      </w:r>
      <w:r>
        <w:t xml:space="preserve"> </w:t>
      </w:r>
      <w:r>
        <w:t xml:space="preserve">is the deterministic TOOLS-D1 index for</w:t>
      </w:r>
      <w:r>
        <w:t xml:space="preserve"> </w:t>
      </w:r>
      <w:r>
        <w:t xml:space="preserve">every tracked implementation source file and governed configuration module in</w:t>
      </w:r>
      <w:r>
        <w:t xml:space="preserve"> </w:t>
      </w:r>
      <w:r>
        <w:t xml:space="preserve">the repository. It scans recognized Python, Python stub, JavaScript,</w:t>
      </w:r>
      <w:r>
        <w:t xml:space="preserve"> </w:t>
      </w:r>
      <w:r>
        <w:t xml:space="preserve">TypeScript, Rust, MATLAB, C/C++, Arduino, shell, PowerShell, HTML, CSS, Prisma,</w:t>
      </w:r>
      <w:r>
        <w:t xml:space="preserve"> </w:t>
      </w:r>
      <w:r>
        <w:t xml:space="preserve">JSON, YAML, TOML, INI, XML, URDF, and web-manifest files. Tests are evidence</w:t>
      </w:r>
      <w:r>
        <w:t xml:space="preserve"> </w:t>
      </w:r>
      <w:r>
        <w:t xml:space="preserve">inputs rather than implementation rows. Generated, vendored, archived,</w:t>
      </w:r>
      <w:r>
        <w:t xml:space="preserve"> </w:t>
      </w:r>
      <w:r>
        <w:t xml:space="preserve">experimental, example, documentation, resource, and manual trees are excluded</w:t>
      </w:r>
      <w:r>
        <w:t xml:space="preserve"> </w:t>
      </w:r>
      <w:r>
        <w:t xml:space="preserve">explicitly in the manifest, so a consumer can reproduce the exact denominator.</w:t>
      </w:r>
      <w:r>
        <w:t xml:space="preserve"> </w:t>
      </w:r>
      <w:r>
        <w:t xml:space="preserve">The index binds bounded entry shards by normalized SHA-256, contiguous index,</w:t>
      </w:r>
      <w:r>
        <w:t xml:space="preserve"> </w:t>
      </w:r>
      <w:r>
        <w:t xml:space="preserve">entry count, and first/last path. Both the index and every shard remain below</w:t>
      </w:r>
      <w:r>
        <w:t xml:space="preserve"> </w:t>
      </w:r>
      <w:r>
        <w:t xml:space="preserve">the repository’s one-megabyte file budget; consumers reassemble one logical</w:t>
      </w:r>
      <w:r>
        <w:t xml:space="preserve"> </w:t>
      </w:r>
      <w:r>
        <w:t xml:space="preserve">view only after verifying every shard and the exact declared shard set.</w:t>
      </w:r>
    </w:p>
    <w:p>
      <w:pPr>
        <w:pStyle w:val="BodyText"/>
      </w:pPr>
      <w:r>
        <w:t xml:space="preserve">At this baseline, 3,439 modules are classified: 808 conservative calculation</w:t>
      </w:r>
      <w:r>
        <w:t xml:space="preserve"> </w:t>
      </w:r>
      <w:r>
        <w:t xml:space="preserve">candidates and 2,631 non-calculation modules. One legacy JavaScript file has a</w:t>
      </w:r>
      <w:r>
        <w:t xml:space="preserve"> </w:t>
      </w:r>
      <w:r>
        <w:t xml:space="preserve">non-UTF-8 encoding and remains explicitly blocked rather than being decoded by</w:t>
      </w:r>
      <w:r>
        <w:t xml:space="preserve"> </w:t>
      </w:r>
      <w:r>
        <w:t xml:space="preserve">an implicit platform default. These counts describe inventory coverage only;</w:t>
      </w:r>
      <w:r>
        <w:t xml:space="preserve"> </w:t>
      </w:r>
      <w:r>
        <w:t xml:space="preserve">they are not test coverage, calculation approval, or publication readiness.</w:t>
      </w:r>
    </w:p>
    <w:bookmarkEnd w:id="27"/>
    <w:bookmarkStart w:id="28" w:name="deterministic-identity-and-integrity"/>
    <w:p>
      <w:pPr>
        <w:pStyle w:val="Heading2"/>
      </w:pPr>
      <w:r>
        <w:t xml:space="preserve">Deterministic Identity and Integrity</w:t>
      </w:r>
    </w:p>
    <w:p>
      <w:pPr>
        <w:pStyle w:val="FirstParagraph"/>
      </w:pPr>
      <w:r>
        <w:t xml:space="preserve">Each file receives a provisional path-derived identifier and a SHA-256 digest</w:t>
      </w:r>
      <w:r>
        <w:t xml:space="preserve"> </w:t>
      </w:r>
      <w:r>
        <w:t xml:space="preserve">of normalized text bytes. The normalization maps CRLF and bare CR to LF before</w:t>
      </w:r>
      <w:r>
        <w:t xml:space="preserve"> </w:t>
      </w:r>
      <w:r>
        <w:t xml:space="preserve">hashing. For module path (p_i) and normalized content digest (h_i), the tree</w:t>
      </w:r>
      <w:r>
        <w:t xml:space="preserve"> </w:t>
      </w:r>
      <w:r>
        <w:t xml:space="preserve">authority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256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‖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rows are ordered by normalized repository-relative path. This contract</w:t>
      </w:r>
      <w:r>
        <w:t xml:space="preserve"> </w:t>
      </w:r>
      <w:r>
        <w:t xml:space="preserve">makes the result independent of Windows checkout line endings while retaining</w:t>
      </w:r>
      <w:r>
        <w:t xml:space="preserve"> </w:t>
      </w:r>
      <w:r>
        <w:t xml:space="preserve">content changes. The path-derived identifier is not a stable calculation ID;</w:t>
      </w:r>
      <w:r>
        <w:t xml:space="preserve"> </w:t>
      </w:r>
      <w:r>
        <w:t xml:space="preserve">TOOLS-D3 owns the structural chapter contract; TOOLS-D4 owns exemplar</w:t>
      </w:r>
      <w:r>
        <w:t xml:space="preserve"> </w:t>
      </w:r>
      <w:r>
        <w:t xml:space="preserve">registration and stable equation-to-code identities that survive file movement.</w:t>
      </w:r>
    </w:p>
    <w:bookmarkEnd w:id="28"/>
    <w:bookmarkStart w:id="29" w:name="classification-contract"/>
    <w:p>
      <w:pPr>
        <w:pStyle w:val="Heading2"/>
      </w:pPr>
      <w:r>
        <w:t xml:space="preserve">Classification Contract</w:t>
      </w:r>
    </w:p>
    <w:p>
      <w:pPr>
        <w:pStyle w:val="FirstParagraph"/>
      </w:pPr>
      <w:r>
        <w:t xml:space="preserve">A module is a</w:t>
      </w:r>
      <w:r>
        <w:t xml:space="preserve"> </w:t>
      </w:r>
      <w:r>
        <w:rPr>
          <w:rStyle w:val="VerbatimChar"/>
        </w:rPr>
        <w:t xml:space="preserve">calculation</w:t>
      </w:r>
      <w:r>
        <w:t xml:space="preserve"> </w:t>
      </w:r>
      <w:r>
        <w:t xml:space="preserve">candidate only when its normalized path contains a</w:t>
      </w:r>
      <w:r>
        <w:t xml:space="preserve"> </w:t>
      </w:r>
      <w:r>
        <w:t xml:space="preserve">governed calculation marker, such as dynamics, kinematics, pressure drop,</w:t>
      </w:r>
      <w:r>
        <w:t xml:space="preserve"> </w:t>
      </w:r>
      <w:r>
        <w:t xml:space="preserve">signal processing, geometry, solver, energy, force, or trajectory, or when the</w:t>
      </w:r>
      <w:r>
        <w:t xml:space="preserve"> </w:t>
      </w:r>
      <w:r>
        <w:t xml:space="preserve">source imports a recognized scientific mathematics library. All other modules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non-calculation</w:t>
      </w:r>
      <w:r>
        <w:t xml:space="preserve">. This intentionally conservative static screen can have</w:t>
      </w:r>
      <w:r>
        <w:t xml:space="preserve"> </w:t>
      </w:r>
      <w:r>
        <w:t xml:space="preserve">false positives and false negatives, so every calculation candidate has</w:t>
      </w:r>
      <w:r>
        <w:t xml:space="preserve"> </w:t>
      </w:r>
      <w:r>
        <w:rPr>
          <w:rStyle w:val="VerbatimChar"/>
        </w:rPr>
        <w:t xml:space="preserve">authority_status=provisional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review_status=review-required</w:t>
      </w:r>
      <w:r>
        <w:t xml:space="preserve">.</w:t>
      </w:r>
    </w:p>
    <w:p>
      <w:pPr>
        <w:pStyle w:val="BodyText"/>
      </w:pPr>
      <w:r>
        <w:t xml:space="preserve">The inventory also records language, purpose where statically available,</w:t>
      </w:r>
      <w:r>
        <w:t xml:space="preserve"> </w:t>
      </w:r>
      <w:r>
        <w:t xml:space="preserve">maintainer family, public surfaces and routes, mapped tests and validation,</w:t>
      </w:r>
      <w:r>
        <w:t xml:space="preserve"> </w:t>
      </w:r>
      <w:r>
        <w:t xml:space="preserve">ADRs, equation references, literal units, citations, artifact digests, risk</w:t>
      </w:r>
      <w:r>
        <w:t xml:space="preserve"> </w:t>
      </w:r>
      <w:r>
        <w:t xml:space="preserve">tags, normalized byte count, and content digest. Missing tests, sources, units,</w:t>
      </w:r>
      <w:r>
        <w:t xml:space="preserve"> </w:t>
      </w:r>
      <w:r>
        <w:t xml:space="preserve">chapters, equation pathways, validation, routes, or artifact digests remain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not-applicable</w:t>
      </w:r>
      <w:r>
        <w:t xml:space="preserve">, or explicitly pending their owning subepic;</w:t>
      </w:r>
      <w:r>
        <w:t xml:space="preserve"> </w:t>
      </w:r>
      <w:r>
        <w:t xml:space="preserve">they are never synthesized. Non-calculation status</w:t>
      </w:r>
      <w:r>
        <w:t xml:space="preserve"> </w:t>
      </w:r>
      <w:r>
        <w:t xml:space="preserve">means only that the conservative detector found no calculation signal. It does</w:t>
      </w:r>
      <w:r>
        <w:t xml:space="preserve"> </w:t>
      </w:r>
      <w:r>
        <w:t xml:space="preserve">not waive public-API, security, licensing, accessibility, or downstream</w:t>
      </w:r>
      <w:r>
        <w:t xml:space="preserve"> </w:t>
      </w:r>
      <w:r>
        <w:t xml:space="preserve">compatibility review.</w:t>
      </w:r>
    </w:p>
    <w:bookmarkEnd w:id="29"/>
    <w:bookmarkStart w:id="30" w:name="consumer-and-failure-contract"/>
    <w:p>
      <w:pPr>
        <w:pStyle w:val="Heading2"/>
      </w:pPr>
      <w:r>
        <w:t xml:space="preserve">Consumer and Failure Contract</w:t>
      </w:r>
    </w:p>
    <w:p>
      <w:pPr>
        <w:pStyle w:val="FirstParagraph"/>
      </w:pPr>
      <w:r>
        <w:t xml:space="preserve">The repository-owned schema is</w:t>
      </w:r>
      <w:r>
        <w:t xml:space="preserve"> </w:t>
      </w:r>
      <w:r>
        <w:rPr>
          <w:rStyle w:val="VerbatimChar"/>
        </w:rPr>
        <w:t xml:space="preserve">schemas/module-inventory.schema.json</w:t>
      </w:r>
      <w:r>
        <w:t xml:space="preserve">, version</w:t>
      </w:r>
      <w:r>
        <w:t xml:space="preserve"> </w:t>
      </w:r>
      <w:r>
        <w:rPr>
          <w:rStyle w:val="VerbatimChar"/>
        </w:rPr>
        <w:t xml:space="preserve">tools-module-inventory/1.0.0</w:t>
      </w:r>
      <w:r>
        <w:t xml:space="preserve">. It extends the program-owned calculation</w:t>
      </w:r>
      <w:r>
        <w:t xml:space="preserve"> </w:t>
      </w:r>
      <w:r>
        <w:t xml:space="preserve">registry without copying or competing with that shared schema. Both JSON Schema</w:t>
      </w:r>
      <w:r>
        <w:t xml:space="preserve"> </w:t>
      </w:r>
      <w:r>
        <w:t xml:space="preserve">validation and the Python consumer reject unknown fields, unsupported versions,</w:t>
      </w:r>
      <w:r>
        <w:t xml:space="preserve"> </w:t>
      </w:r>
      <w:r>
        <w:t xml:space="preserve">unsafe paths, invalid hashes, duplicate identifiers, unsorted duplicate</w:t>
      </w:r>
      <w:r>
        <w:t xml:space="preserve"> </w:t>
      </w:r>
      <w:r>
        <w:t xml:space="preserve">traceability arrays, denominator mismatches, and unsupported state values.</w:t>
      </w:r>
    </w:p>
    <w:p>
      <w:pPr>
        <w:pStyle w:val="BodyText"/>
      </w:pPr>
      <w:r>
        <w:t xml:space="preserve">Any tracked in-scope module addition, removal, rename, or normalized content</w:t>
      </w:r>
      <w:r>
        <w:t xml:space="preserve"> </w:t>
      </w:r>
      <w:r>
        <w:t xml:space="preserve">change makes inventory check mode fail until the manifest is regenerated and</w:t>
      </w:r>
      <w:r>
        <w:t xml:space="preserve"> </w:t>
      </w:r>
      <w:r>
        <w:t xml:space="preserve">reviewed. A</w:t>
      </w:r>
      <w:r>
        <w:t xml:space="preserve"> </w:t>
      </w:r>
      <w:r>
        <w:t xml:space="preserve">green inventory check proves only deterministic classification and freshness of</w:t>
      </w:r>
      <w:r>
        <w:t xml:space="preserve"> </w:t>
      </w:r>
      <w:r>
        <w:t xml:space="preserve">this file-level baseline. Public projection remains blocked until the remaining</w:t>
      </w:r>
      <w:r>
        <w:t xml:space="preserve"> </w:t>
      </w:r>
      <w:r>
        <w:t xml:space="preserve">stable-pathway, page, accessibility, licensing, publication, and human-approval</w:t>
      </w:r>
      <w:r>
        <w:t xml:space="preserve"> </w:t>
      </w:r>
      <w:r>
        <w:t xml:space="preserve">gates are complete.</w:t>
      </w:r>
    </w:p>
    <w:bookmarkEnd w:id="30"/>
    <w:bookmarkEnd w:id="31"/>
    <w:bookmarkStart w:id="39" w:name="reproducible-rendering-contract"/>
    <w:p>
      <w:pPr>
        <w:pStyle w:val="Heading1"/>
      </w:pPr>
      <w:r>
        <w:t xml:space="preserve">Reproducible Rendering Contract</w:t>
      </w:r>
    </w:p>
    <w:bookmarkStart w:id="35" w:name="outcome-and-authority"/>
    <w:p>
      <w:pPr>
        <w:pStyle w:val="Heading2"/>
      </w:pPr>
      <w:r>
        <w:t xml:space="preserve">Outcome and Authority</w:t>
      </w:r>
    </w:p>
    <w:p>
      <w:pPr>
        <w:pStyle w:val="FirstParagraph"/>
      </w:pPr>
      <w:r>
        <w:t xml:space="preserve">TOOLS-D2 renders the canonical QMD into deterministic HTML, LaTeX, PDF, and</w:t>
      </w:r>
      <w:r>
        <w:t xml:space="preserve"> </w:t>
      </w:r>
      <w:r>
        <w:t xml:space="preserve">DOCX representations. Generated outputs are engineering records, not approval.</w:t>
      </w:r>
      <w:r>
        <w:t xml:space="preserve"> </w:t>
      </w:r>
      <w:r>
        <w:t xml:space="preserve">Only QMD may be corrected directly. Every output remains blocked from public</w:t>
      </w:r>
      <w:r>
        <w:t xml:space="preserve"> </w:t>
      </w:r>
      <w:r>
        <w:t xml:space="preserve">projection until semantic, page, accessibility, provenance, licensing, and</w:t>
      </w:r>
      <w:r>
        <w:t xml:space="preserve"> </w:t>
      </w:r>
      <w:r>
        <w:t xml:space="preserve">human-review gates owned by later subepics are complete.</w:t>
      </w:r>
    </w:p>
    <w:p>
      <w:pPr>
        <w:pStyle w:val="BodyText"/>
      </w:pPr>
      <w:r>
        <w:t xml:space="preserve">The renderer uses the pinned command versions and inputs recorded in</w:t>
      </w:r>
      <w:r>
        <w:t xml:space="preserve"> </w:t>
      </w:r>
      <w:r>
        <w:rPr>
          <w:rStyle w:val="VerbatimChar"/>
        </w:rPr>
        <w:t xml:space="preserve">toolchain-lock.json</w:t>
      </w:r>
      <w:r>
        <w:t xml:space="preserve">. It verifies the exact first version line before render,</w:t>
      </w:r>
      <w:r>
        <w:t xml:space="preserve"> </w:t>
      </w:r>
      <w:r>
        <w:t xml:space="preserve">expands only bounded QMD includes, uses the governed bibliography and reference</w:t>
      </w:r>
      <w:r>
        <w:t xml:space="preserve"> </w:t>
      </w:r>
      <w:r>
        <w:t xml:space="preserve">DOCX, disables TeX shell escape, normalizes volatile package metadata, and</w:t>
      </w:r>
      <w:r>
        <w:t xml:space="preserve"> </w:t>
      </w:r>
      <w:r>
        <w:t xml:space="preserve">binds every representation into</w:t>
      </w:r>
      <w:r>
        <w:t xml:space="preserve"> </w:t>
      </w:r>
      <w:r>
        <w:rPr>
          <w:rStyle w:val="VerbatimChar"/>
        </w:rPr>
        <w:t xml:space="preserve">manifests/artifacts.json</w:t>
      </w:r>
      <w:r>
        <w:t xml:space="preserve">. The command model</w:t>
      </w:r>
      <w:r>
        <w:t xml:space="preserve"> </w:t>
      </w:r>
      <w:r>
        <w:t xml:space="preserve">follows the documented Pandoc conversion contract</w:t>
      </w:r>
      <w:r>
        <w:t xml:space="preserve"> </w:t>
      </w:r>
      <w:r>
        <w:t xml:space="preserve">(Pandoc contributors 2026)</w:t>
      </w:r>
      <w:r>
        <w:t xml:space="preserve"> </w:t>
      </w:r>
      <w:r>
        <w:t xml:space="preserve">while QMD</w:t>
      </w:r>
      <w:r>
        <w:t xml:space="preserve"> </w:t>
      </w:r>
      <w:r>
        <w:t xml:space="preserve">remains compatible with the pinned Quarto authoring surface</w:t>
      </w:r>
      <w:r>
        <w:t xml:space="preserve"> </w:t>
      </w:r>
      <w:r>
        <w:t xml:space="preserve">(Posit Software, PBC 2026)</w:t>
      </w:r>
      <w:r>
        <w:t xml:space="preserve">.</w:t>
      </w:r>
    </w:p>
    <w:p>
      <w:pPr>
        <w:pStyle w:val="CaptionedFigure"/>
      </w:pPr>
      <w:r>
        <w:drawing>
          <wp:inline>
            <wp:extent cx="4160520" cy="2028253"/>
            <wp:effectExtent b="0" l="0" r="0" t="0"/>
            <wp:docPr descr="Deterministic rendering pathway." title="" id="33" name="Picture"/>
            <a:graphic>
              <a:graphicData uri="http://schemas.openxmlformats.org/drawingml/2006/picture">
                <pic:pic>
                  <pic:nvPicPr>
                    <pic:cNvPr descr="figures/render-pipel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02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Deterministic rendering pathway.</w:t>
      </w:r>
    </w:p>
    <w:bookmarkEnd w:id="35"/>
    <w:bookmarkStart w:id="36" w:name="semantic-unit-and-warning-preservation"/>
    <w:p>
      <w:pPr>
        <w:pStyle w:val="Heading2"/>
      </w:pPr>
      <w:r>
        <w:t xml:space="preserve">Semantic, Unit, and Warning Preservation</w:t>
      </w:r>
    </w:p>
    <w:p>
      <w:pPr>
        <w:pStyle w:val="FirstParagraph"/>
      </w:pPr>
      <w:r>
        <w:t xml:space="preserve">The semantic contract is deliberately format-neutral. Every representation</w:t>
      </w:r>
      <w:r>
        <w:t xml:space="preserve"> </w:t>
      </w:r>
      <w:r>
        <w:t xml:space="preserve">must retain the governed title, release boundary, representative unit string,</w:t>
      </w:r>
      <w:r>
        <w:t xml:space="preserve"> </w:t>
      </w:r>
      <w:r>
        <w:t xml:space="preserve">warning, figure label, and bibliography identity before receiving a shared</w:t>
      </w:r>
      <w:r>
        <w:t xml:space="preserve"> </w:t>
      </w:r>
      <w:r>
        <w:t xml:space="preserve">semantic digest. Example unit string: 10 m/s.</w:t>
      </w:r>
    </w:p>
    <w:p>
      <w:pPr>
        <w:pStyle w:val="BodyText"/>
      </w:pPr>
      <w:r>
        <w:t xml:space="preserve">WARNING: Provisional calculations remain blocked.</w:t>
      </w:r>
    </w:p>
    <w:p>
      <w:pPr>
        <w:pStyle w:val="BodyText"/>
      </w:pPr>
      <w:r>
        <w:t xml:space="preserve">This gate proves preservation of required meaning across the four</w:t>
      </w:r>
      <w:r>
        <w:t xml:space="preserve"> </w:t>
      </w:r>
      <w:r>
        <w:t xml:space="preserve">representations. It does not prove calculation correctness, equation coverage,</w:t>
      </w:r>
      <w:r>
        <w:t xml:space="preserve"> </w:t>
      </w:r>
      <w:r>
        <w:t xml:space="preserve">accessibility, page aesthetics, or release approval. Missing text, a stale</w:t>
      </w:r>
      <w:r>
        <w:t xml:space="preserve"> </w:t>
      </w:r>
      <w:r>
        <w:t xml:space="preserve">digest, an unpinned tool, an unsafe include, or an absent artifact fails closed.</w:t>
      </w:r>
    </w:p>
    <w:bookmarkEnd w:id="36"/>
    <w:bookmarkStart w:id="37" w:name="reproduction-and-consumer-contract"/>
    <w:p>
      <w:pPr>
        <w:pStyle w:val="Heading2"/>
      </w:pPr>
      <w:r>
        <w:t xml:space="preserve">Reproduction and Consumer Contract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-m scripts.render_tools_design_manual --verify-toolchain</w:t>
      </w:r>
      <w:r>
        <w:t xml:space="preserve"> </w:t>
      </w:r>
      <w:r>
        <w:t xml:space="preserve">before a</w:t>
      </w:r>
      <w:r>
        <w:t xml:space="preserve"> </w:t>
      </w:r>
      <w:r>
        <w:t xml:space="preserve">qualified build. Run</w:t>
      </w:r>
      <w:r>
        <w:t xml:space="preserve"> </w:t>
      </w:r>
      <w:r>
        <w:rPr>
          <w:rStyle w:val="VerbatimChar"/>
        </w:rPr>
        <w:t xml:space="preserve">python -m scripts.render_tools_design_manual --render</w:t>
      </w:r>
      <w:r>
        <w:t xml:space="preserve"> </w:t>
      </w:r>
      <w:r>
        <w:t xml:space="preserve">to replace renderer-owned artifacts, then</w:t>
      </w:r>
      <w:r>
        <w:t xml:space="preserve"> </w:t>
      </w:r>
      <w:r>
        <w:rPr>
          <w:rStyle w:val="VerbatimChar"/>
        </w:rPr>
        <w:t xml:space="preserve">python -m scripts.render_tools_design_manual --check</w:t>
      </w:r>
      <w:r>
        <w:t xml:space="preserve"> </w:t>
      </w:r>
      <w:r>
        <w:t xml:space="preserve">to validate source,</w:t>
      </w:r>
      <w:r>
        <w:t xml:space="preserve"> </w:t>
      </w:r>
      <w:r>
        <w:t xml:space="preserve">toolchain, byte, and semantic bindings. The strict JSON Schemas allow consumers</w:t>
      </w:r>
      <w:r>
        <w:t xml:space="preserve"> </w:t>
      </w:r>
      <w:r>
        <w:t xml:space="preserve">to validate the lock and manifest without importing producer code.</w:t>
      </w:r>
    </w:p>
    <w:p>
      <w:pPr>
        <w:pStyle w:val="BodyText"/>
      </w:pPr>
      <w:r>
        <w:t xml:space="preserve">Artifact rows expose media type, byte count, byte digest, and shared semantic</w:t>
      </w:r>
      <w:r>
        <w:t xml:space="preserve"> </w:t>
      </w:r>
      <w:r>
        <w:t xml:space="preserve">digest. The manifest also preserves the owning epic, review owner, explicit</w:t>
      </w:r>
      <w:r>
        <w:t xml:space="preserve"> </w:t>
      </w:r>
      <w:r>
        <w:t xml:space="preserve">blockers, and a null immutable source commit while this local stack is not a</w:t>
      </w:r>
      <w:r>
        <w:t xml:space="preserve"> </w:t>
      </w:r>
      <w:r>
        <w:t xml:space="preserve">merged authority. A consumer must reject unknown fields, versions, formats,</w:t>
      </w:r>
      <w:r>
        <w:t xml:space="preserve"> </w:t>
      </w:r>
      <w:r>
        <w:t xml:space="preserve">paths, hashes, status promotion, or semantic divergence.</w:t>
      </w:r>
    </w:p>
    <w:bookmarkEnd w:id="37"/>
    <w:bookmarkStart w:id="38" w:name="pdf-extractor-compatibility"/>
    <w:p>
      <w:pPr>
        <w:pStyle w:val="Heading2"/>
      </w:pPr>
      <w:r>
        <w:t xml:space="preserve">PDF Extractor Compatibility</w:t>
      </w:r>
    </w:p>
    <w:p>
      <w:pPr>
        <w:pStyle w:val="FirstParagraph"/>
      </w:pPr>
      <w:r>
        <w:t xml:space="preserve">Live QA verifies the exact PDF byte digest and page count, ordered page</w:t>
      </w:r>
      <w:r>
        <w:t xml:space="preserve"> </w:t>
      </w:r>
      <w:r>
        <w:t xml:space="preserve">identity, normalized non-whitespace character count, first-line prefix, fonts,</w:t>
      </w:r>
      <w:r>
        <w:t xml:space="preserve"> </w:t>
      </w:r>
      <w:r>
        <w:t xml:space="preserve">bookmarks, images and annotations. Extracted line counts remain recorded</w:t>
      </w:r>
      <w:r>
        <w:t xml:space="preserve"> </w:t>
      </w:r>
      <w:r>
        <w:t xml:space="preserve">diagnostics: an extractor version can change line wrapping while the PDF bytes</w:t>
      </w:r>
      <w:r>
        <w:t xml:space="preserve"> </w:t>
      </w:r>
      <w:r>
        <w:t xml:space="preserve">and normalized text stay identical. Line counts do not participate in inventory</w:t>
      </w:r>
      <w:r>
        <w:t xml:space="preserve"> </w:t>
      </w:r>
      <w:r>
        <w:t xml:space="preserve">equality. Empty-page and unresolved-reference checks still fail closed.</w:t>
      </w:r>
      <w:r>
        <w:t xml:space="preserve"> </w:t>
      </w:r>
      <w:r>
        <w:t xml:space="preserve">Regression tests preserve equality under body rewrapping and verify the existing</w:t>
      </w:r>
      <w:r>
        <w:t xml:space="preserve"> </w:t>
      </w:r>
      <w:r>
        <w:t xml:space="preserve">ledger with the CI extractor. No rendered artifact is edited by this policy.</w:t>
      </w:r>
    </w:p>
    <w:bookmarkEnd w:id="38"/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The cited Pandoc and Quarto records are resolved from the governed bibliography</w:t>
      </w:r>
      <w:r>
        <w:t xml:space="preserve"> </w:t>
      </w:r>
      <w:r>
        <w:t xml:space="preserve">declared by the pinned toolchain contract; an unresolved citation fails the</w:t>
      </w:r>
      <w:r>
        <w:t xml:space="preserve"> </w:t>
      </w:r>
      <w:r>
        <w:t xml:space="preserve">qualified render.</w:t>
      </w:r>
    </w:p>
    <w:bookmarkEnd w:id="40"/>
    <w:bookmarkStart w:id="47" w:name="required-textbook-chapter-contract"/>
    <w:p>
      <w:pPr>
        <w:pStyle w:val="Heading1"/>
      </w:pPr>
      <w:r>
        <w:t xml:space="preserve">Required Textbook Chapter Contract</w:t>
      </w:r>
    </w:p>
    <w:bookmarkStart w:id="41" w:name="outcome-and-authority-1"/>
    <w:p>
      <w:pPr>
        <w:pStyle w:val="Heading2"/>
      </w:pPr>
      <w:r>
        <w:t xml:space="preserve">Outcome and Authority</w:t>
      </w:r>
    </w:p>
    <w:p>
      <w:pPr>
        <w:pStyle w:val="FirstParagraph"/>
      </w:pPr>
      <w:r>
        <w:t xml:space="preserve">TOOLS-D3 defines the public structure that every calculation-level textbook</w:t>
      </w:r>
      <w:r>
        <w:t xml:space="preserve"> </w:t>
      </w:r>
      <w:r>
        <w:t xml:space="preserve">chapter must satisfy before registration. The contract is structural and</w:t>
      </w:r>
      <w:r>
        <w:t xml:space="preserve"> </w:t>
      </w:r>
      <w:r>
        <w:t xml:space="preserve">traceability-focused: passing it does not approve an equation, implementation,</w:t>
      </w:r>
      <w:r>
        <w:t xml:space="preserve"> </w:t>
      </w:r>
      <w:r>
        <w:t xml:space="preserve">dataset, artifact, license, or engineering use. TOOLS-D4 now registers one</w:t>
      </w:r>
      <w:r>
        <w:t xml:space="preserve"> </w:t>
      </w:r>
      <w:r>
        <w:t xml:space="preserve">verified-unapproved swing and Rate-of-Closure exemplar; missing markerless</w:t>
      </w:r>
      <w:r>
        <w:t xml:space="preserve"> </w:t>
      </w:r>
      <w:r>
        <w:t xml:space="preserve">authority remains an explicit blocker rather than an inferred calculation.</w:t>
      </w:r>
    </w:p>
    <w:p>
      <w:pPr>
        <w:pStyle w:val="BodyText"/>
      </w:pPr>
      <w:r>
        <w:t xml:space="preserve">Two version identifiers are fixed:</w:t>
      </w:r>
    </w:p>
    <w:p>
      <w:pPr>
        <w:pStyle w:val="Compact"/>
        <w:numPr>
          <w:ilvl w:val="0"/>
          <w:numId w:val="1001"/>
        </w:numPr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tools-textbook-chapter-contract/1.0.0</w:t>
      </w:r>
    </w:p>
    <w:p>
      <w:pPr>
        <w:pStyle w:val="Compact"/>
        <w:numPr>
          <w:ilvl w:val="0"/>
          <w:numId w:val="1001"/>
        </w:numPr>
      </w:pPr>
      <w:r>
        <w:t xml:space="preserve">Registry:</w:t>
      </w:r>
      <w:r>
        <w:t xml:space="preserve"> </w:t>
      </w:r>
      <w:r>
        <w:rPr>
          <w:rStyle w:val="VerbatimChar"/>
        </w:rPr>
        <w:t xml:space="preserve">tools-textbook-chapter-registry/1.0.0</w:t>
      </w:r>
    </w:p>
    <w:p>
      <w:pPr>
        <w:pStyle w:val="FirstParagraph"/>
      </w:pPr>
      <w:r>
        <w:t xml:space="preserve">Their repository-owned JSON Schemas allow external consumers to validate shape</w:t>
      </w:r>
      <w:r>
        <w:t xml:space="preserve"> </w:t>
      </w:r>
      <w:r>
        <w:t xml:space="preserve">without importing producer code. The Python consumer then applies stricter</w:t>
      </w:r>
      <w:r>
        <w:t xml:space="preserve"> </w:t>
      </w:r>
      <w:r>
        <w:t xml:space="preserve">invariants for normalized paths, ordering, uniqueness, authority state, and QMD</w:t>
      </w:r>
      <w:r>
        <w:t xml:space="preserve"> </w:t>
      </w:r>
      <w:r>
        <w:t xml:space="preserve">content.</w:t>
      </w:r>
    </w:p>
    <w:bookmarkEnd w:id="41"/>
    <w:bookmarkStart w:id="42" w:name="required-chapter-anatomy"/>
    <w:p>
      <w:pPr>
        <w:pStyle w:val="Heading2"/>
      </w:pPr>
      <w:r>
        <w:t xml:space="preserve">Required Chapter Anatomy</w:t>
      </w:r>
    </w:p>
    <w:p>
      <w:pPr>
        <w:pStyle w:val="FirstParagraph"/>
      </w:pPr>
      <w:r>
        <w:t xml:space="preserve">Fourteen ordered sections are mandatory. A registered chapter must present,</w:t>
      </w:r>
      <w:r>
        <w:t xml:space="preserve"> </w:t>
      </w:r>
      <w:r>
        <w:t xml:space="preserve">in order: Purpose and Scope; Design by Contract; Coordinates, Frames, and Time;</w:t>
      </w:r>
      <w:r>
        <w:t xml:space="preserve"> </w:t>
      </w:r>
      <w:r>
        <w:t xml:space="preserve">Units and Dimensions; Derivation and Assumptions; Algorithm; Implementation</w:t>
      </w:r>
      <w:r>
        <w:t xml:space="preserve"> </w:t>
      </w:r>
      <w:r>
        <w:t xml:space="preserve">Symbols; Error and Failure Semantics; Uncertainty and Sensitivity; Verification</w:t>
      </w:r>
      <w:r>
        <w:t xml:space="preserve"> </w:t>
      </w:r>
      <w:r>
        <w:t xml:space="preserve">and Validation; Limits and Applicability; Worked Examples; References and</w:t>
      </w:r>
      <w:r>
        <w:t xml:space="preserve"> </w:t>
      </w:r>
      <w:r>
        <w:t xml:space="preserve">Provenance; and Revision History.</w:t>
      </w:r>
    </w:p>
    <w:p>
      <w:pPr>
        <w:pStyle w:val="BodyText"/>
      </w:pPr>
      <w:r>
        <w:t xml:space="preserve">The contract also declares mandatory third-level headings. For example, Design</w:t>
      </w:r>
      <w:r>
        <w:t xml:space="preserve"> </w:t>
      </w:r>
      <w:r>
        <w:t xml:space="preserve">by Contract requires Preconditions, Postconditions, and Invariants. Coordinates</w:t>
      </w:r>
      <w:r>
        <w:t xml:space="preserve"> </w:t>
      </w:r>
      <w:r>
        <w:t xml:space="preserve">requires frame, handedness, and time declarations. Verification and Validation</w:t>
      </w:r>
      <w:r>
        <w:t xml:space="preserve"> </w:t>
      </w:r>
      <w:r>
        <w:t xml:space="preserve">requires test evidence and acceptance criteria. Exact ordered headings remove</w:t>
      </w:r>
      <w:r>
        <w:t xml:space="preserve"> </w:t>
      </w:r>
      <w:r>
        <w:t xml:space="preserve">format-dependent inference and make an omitted obligation a deterministic</w:t>
      </w:r>
      <w:r>
        <w:t xml:space="preserve"> </w:t>
      </w:r>
      <w:r>
        <w:t xml:space="preserve">failure.</w:t>
      </w:r>
    </w:p>
    <w:bookmarkEnd w:id="42"/>
    <w:bookmarkStart w:id="43" w:name="registration-and-traceability"/>
    <w:p>
      <w:pPr>
        <w:pStyle w:val="Heading2"/>
      </w:pPr>
      <w:r>
        <w:t xml:space="preserve">Registration and Traceability</w:t>
      </w:r>
    </w:p>
    <w:p>
      <w:pPr>
        <w:pStyle w:val="FirstParagraph"/>
      </w:pPr>
      <w:r>
        <w:t xml:space="preserve">Each registered chapter has one stable chapter ID and one normalized QMD path.</w:t>
      </w:r>
      <w:r>
        <w:t xml:space="preserve"> </w:t>
      </w:r>
      <w:r>
        <w:t xml:space="preserve">Its descriptor binds the chapter version and provisional authority to an owner,</w:t>
      </w:r>
      <w:r>
        <w:t xml:space="preserve"> </w:t>
      </w:r>
      <w:r>
        <w:t xml:space="preserve">review owner, stable calculation IDs, module IDs, verification tests, source</w:t>
      </w:r>
      <w:r>
        <w:t xml:space="preserve"> </w:t>
      </w:r>
      <w:r>
        <w:t xml:space="preserve">citations, explicit limitations, and revision history. All traceability arrays</w:t>
      </w:r>
      <w:r>
        <w:t xml:space="preserve"> </w:t>
      </w:r>
      <w:r>
        <w:t xml:space="preserve">are non-empty, unique, and sorted; duplicate chapter IDs or paths are rejected.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chapter claim is unsupported by this D3 contract because later</w:t>
      </w:r>
      <w:r>
        <w:t xml:space="preserve"> </w:t>
      </w:r>
      <w:r>
        <w:t xml:space="preserve">subepics own page, accessibility, publication, and human-review evidence. D3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provisional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verified-unapproved</w:t>
      </w:r>
      <w:r>
        <w:t xml:space="preserve"> </w:t>
      </w:r>
      <w:r>
        <w:t xml:space="preserve">chapter descriptors. The</w:t>
      </w:r>
      <w:r>
        <w:t xml:space="preserve"> </w:t>
      </w:r>
      <w:r>
        <w:t xml:space="preserve">manual and every generated representation therefore remain</w:t>
      </w:r>
      <w:r>
        <w:t xml:space="preserve"> </w:t>
      </w:r>
      <w:r>
        <w:rPr>
          <w:rStyle w:val="VerbatimChar"/>
        </w:rPr>
        <w:t xml:space="preserve">generated-unapproved</w:t>
      </w:r>
      <w:r>
        <w:t xml:space="preserve">.</w:t>
      </w:r>
    </w:p>
    <w:bookmarkEnd w:id="43"/>
    <w:bookmarkStart w:id="44" w:name="linter-algorithm-and-evidence"/>
    <w:p>
      <w:pPr>
        <w:pStyle w:val="Heading2"/>
      </w:pPr>
      <w:r>
        <w:t xml:space="preserve">Linter Algorithm and Evidence</w:t>
      </w:r>
    </w:p>
    <w:p>
      <w:pPr>
        <w:pStyle w:val="FirstParagraph"/>
      </w:pPr>
      <w:r>
        <w:t xml:space="preserve">The linter loads the contract and registry through strict typed consumers,</w:t>
      </w:r>
      <w:r>
        <w:t xml:space="preserve"> </w:t>
      </w:r>
      <w:r>
        <w:t xml:space="preserve">resolves each registered path beneath</w:t>
      </w:r>
      <w:r>
        <w:t xml:space="preserve"> </w:t>
      </w:r>
      <w:r>
        <w:rPr>
          <w:rStyle w:val="VerbatimChar"/>
        </w:rPr>
        <w:t xml:space="preserve">manuals/tools/chapters</w:t>
      </w:r>
      <w:r>
        <w:t xml:space="preserve">, decodes UTF-8,</w:t>
      </w:r>
      <w:r>
        <w:t xml:space="preserve"> </w:t>
      </w:r>
      <w:r>
        <w:t xml:space="preserve">and rejects forbidden placeholder or private-source tokens. It extracts level-2</w:t>
      </w:r>
      <w:r>
        <w:t xml:space="preserve"> </w:t>
      </w:r>
      <w:r>
        <w:t xml:space="preserve">and level-3 headings, compares them with the exact ordered contract, and checks</w:t>
      </w:r>
      <w:r>
        <w:t xml:space="preserve"> </w:t>
      </w:r>
      <w:r>
        <w:t xml:space="preserve">that every required section has governed body content.</w:t>
      </w:r>
    </w:p>
    <w:p>
      <w:pPr>
        <w:pStyle w:val="BodyText"/>
      </w:pPr>
      <w:r>
        <w:t xml:space="preserve">For normalized chapter text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ordered section blocks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the linter</w:t>
      </w:r>
      <w:r>
        <w:t xml:space="preserve"> </w:t>
      </w:r>
      <w:r>
        <w:t xml:space="preserve">records deterministic evidence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SHA256</m:t>
          </m:r>
          <m:r>
            <m:rPr>
              <m:sty m:val="p"/>
            </m:rPr>
            <m:t>(</m:t>
          </m:r>
          <m:r>
            <m:rPr>
              <m:sty m:val="p"/>
            </m:rPr>
            <m:t>LF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SHA256</m:t>
          </m:r>
          <m:r>
            <m:rPr>
              <m:sty m:val="p"/>
            </m:rPr>
            <m:t>(</m:t>
          </m:r>
          <m:r>
            <m:rPr>
              <m:sty m:val="p"/>
            </m:rPr>
            <m:t>LF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hashes detect byte-level content drift while remaining independent of</w:t>
      </w:r>
      <w:r>
        <w:t xml:space="preserve"> </w:t>
      </w:r>
      <w:r>
        <w:t xml:space="preserve">Windows or POSIX checkout line endings. They are lint evidence, not scientific</w:t>
      </w:r>
      <w:r>
        <w:t xml:space="preserve"> </w:t>
      </w:r>
      <w:r>
        <w:t xml:space="preserve">approval or an immutable publication digest.</w:t>
      </w:r>
    </w:p>
    <w:bookmarkEnd w:id="44"/>
    <w:bookmarkStart w:id="45" w:name="failure-and-ownership-boundaries"/>
    <w:p>
      <w:pPr>
        <w:pStyle w:val="Heading2"/>
      </w:pPr>
      <w:r>
        <w:t xml:space="preserve">Failure and Ownership Boundaries</w:t>
      </w:r>
    </w:p>
    <w:p>
      <w:pPr>
        <w:pStyle w:val="FirstParagraph"/>
      </w:pPr>
      <w:r>
        <w:t xml:space="preserve">Missing files, invalid UTF-8, unsafe paths, unknown fields or versions, duplicate</w:t>
      </w:r>
      <w:r>
        <w:t xml:space="preserve"> </w:t>
      </w:r>
      <w:r>
        <w:t xml:space="preserve">identities, unsorted traceability, missing or reordered headings, empty governed</w:t>
      </w:r>
      <w:r>
        <w:t xml:space="preserve"> </w:t>
      </w:r>
      <w:r>
        <w:t xml:space="preserve">content, placeholders, private-source references, unsupported status promotion,</w:t>
      </w:r>
      <w:r>
        <w:t xml:space="preserve"> </w:t>
      </w:r>
      <w:r>
        <w:t xml:space="preserve">and stale generated artifacts all fail closed. The linter does not synthesize</w:t>
      </w:r>
      <w:r>
        <w:t xml:space="preserve"> </w:t>
      </w:r>
      <w:r>
        <w:t xml:space="preserve">equations, units, sources, examples, tests, or limitations.</w:t>
      </w:r>
    </w:p>
    <w:p>
      <w:pPr>
        <w:pStyle w:val="BodyText"/>
      </w:pPr>
      <w:r>
        <w:t xml:space="preserve">TOOLS-D4 owns exemplar chapter registration and its fail-closed dependency</w:t>
      </w:r>
      <w:r>
        <w:t xml:space="preserve"> </w:t>
      </w:r>
      <w:r>
        <w:t xml:space="preserve">coverage. TOOLS-D5 expands phased module</w:t>
      </w:r>
      <w:r>
        <w:t xml:space="preserve"> </w:t>
      </w:r>
      <w:r>
        <w:t xml:space="preserve">coverage, TOOLS-D6 owns executable freshness, TOOLS-D7 owns rendered and</w:t>
      </w:r>
      <w:r>
        <w:t xml:space="preserve"> </w:t>
      </w:r>
      <w:r>
        <w:t xml:space="preserve">accessibility review, and TOOLS-D8 owns immutable public projection and human</w:t>
      </w:r>
      <w:r>
        <w:t xml:space="preserve"> </w:t>
      </w:r>
      <w:r>
        <w:t xml:space="preserve">approval.</w:t>
      </w:r>
    </w:p>
    <w:bookmarkEnd w:id="45"/>
    <w:bookmarkStart w:id="46" w:name="consumer-workflow"/>
    <w:p>
      <w:pPr>
        <w:pStyle w:val="Heading2"/>
      </w:pPr>
      <w:r>
        <w:t xml:space="preserve">Consumer Workflow</w:t>
      </w:r>
    </w:p>
    <w:p>
      <w:pPr>
        <w:pStyle w:val="FirstParagraph"/>
      </w:pPr>
      <w:r>
        <w:t xml:space="preserve">Authors edit only canonical QMD and the machine-readable chapter registry. Run</w:t>
      </w:r>
      <w:r>
        <w:t xml:space="preserve"> </w:t>
      </w:r>
      <w:r>
        <w:t xml:space="preserve">these commands in order: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python -m</w:t>
      </w:r>
      <w:r>
        <w:t xml:space="preserve"> </w:t>
      </w:r>
      <w:r>
        <w:rPr>
          <w:rStyle w:val="VerbatimChar"/>
        </w:rPr>
        <w:t xml:space="preserve">scripts.lint_tools_textbook_chapters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python -m</w:t>
      </w:r>
      <w:r>
        <w:t xml:space="preserve"> </w:t>
      </w:r>
      <w:r>
        <w:rPr>
          <w:rStyle w:val="VerbatimChar"/>
        </w:rPr>
        <w:t xml:space="preserve">scripts.check_tools_exemplars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python -m</w:t>
      </w:r>
      <w:r>
        <w:t xml:space="preserve"> </w:t>
      </w:r>
      <w:r>
        <w:rPr>
          <w:rStyle w:val="VerbatimChar"/>
        </w:rPr>
        <w:t xml:space="preserve">scripts.render_tools_design_manual</w:t>
      </w:r>
      <w:r>
        <w:t xml:space="preserve"> </w:t>
      </w:r>
      <w:r>
        <w:rPr>
          <w:rStyle w:val="VerbatimChar"/>
        </w:rPr>
        <w:t xml:space="preserve">--render</w:t>
      </w:r>
    </w:p>
    <w:p>
      <w:r>
        <w:br w:type="page"/>
      </w:r>
    </w:p>
    <w:bookmarkEnd w:id="46"/>
    <w:bookmarkEnd w:id="47"/>
    <w:bookmarkStart w:id="93" w:name="swing-rate-of-closure-d-plane-exemplar"/>
    <w:p>
      <w:pPr>
        <w:pStyle w:val="Heading1"/>
      </w:pPr>
      <w:r>
        <w:t xml:space="preserve">Swing and Rate-of-Closure D-Plane Geometry</w:t>
      </w:r>
    </w:p>
    <w:bookmarkStart w:id="48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governed exemplar explains how</w:t>
      </w:r>
      <w:r>
        <w:t xml:space="preserve"> </w:t>
      </w:r>
      <w:r>
        <w:rPr>
          <w:rStyle w:val="VerbatimChar"/>
        </w:rPr>
        <w:t xml:space="preserve">swing_sim</w:t>
      </w:r>
      <w:r>
        <w:t xml:space="preserve"> </w:t>
      </w:r>
      <w:r>
        <w:t xml:space="preserve">computes frame-explicit</w:t>
      </w:r>
      <w:r>
        <w:t xml:space="preserve"> </w:t>
      </w:r>
      <w:r>
        <w:t xml:space="preserve">three-dimensional D-plane geometry and how Rate of Closure supplies three</w:t>
      </w:r>
      <w:r>
        <w:t xml:space="preserve"> </w:t>
      </w:r>
      <w:r>
        <w:t xml:space="preserve">distinct rigid-body velocity points to that calculation. It is for developers,</w:t>
      </w:r>
      <w:r>
        <w:t xml:space="preserve"> </w:t>
      </w:r>
      <w:r>
        <w:t xml:space="preserve">scientific reviewers, and integrators who need to reproduce the equations and</w:t>
      </w:r>
      <w:r>
        <w:t xml:space="preserve"> </w:t>
      </w:r>
      <w:r>
        <w:t xml:space="preserve">follow every value into code and tests. It covers geometric direction</w:t>
      </w:r>
      <w:r>
        <w:t xml:space="preserve"> </w:t>
      </w:r>
      <w:r>
        <w:t xml:space="preserve">relationships only. It does not predict ball launch, spin magnitude,</w:t>
      </w:r>
      <w:r>
        <w:t xml:space="preserve"> </w:t>
      </w:r>
      <w:r>
        <w:t xml:space="preserve">aerodynamic flight, player outcome, equipment quality, or an operating</w:t>
      </w:r>
      <w:r>
        <w:t xml:space="preserve"> </w:t>
      </w:r>
      <w:r>
        <w:t xml:space="preserve">decision. The calculation and rendered artifacts are verified-unapproved.</w:t>
      </w:r>
    </w:p>
    <w:bookmarkEnd w:id="48"/>
    <w:bookmarkStart w:id="52" w:name="design-by-contract"/>
    <w:p>
      <w:pPr>
        <w:pStyle w:val="Heading2"/>
      </w:pPr>
      <w:r>
        <w:t xml:space="preserve">Design by Contract</w:t>
      </w:r>
    </w:p>
    <w:bookmarkStart w:id="49" w:name="preconditions"/>
    <w:p>
      <w:pPr>
        <w:pStyle w:val="Heading3"/>
      </w:pPr>
      <w:r>
        <w:t xml:space="preserve">Preconditions</w:t>
      </w:r>
    </w:p>
    <w:p>
      <w:pPr>
        <w:pStyle w:val="FirstParagraph"/>
      </w:pPr>
      <w:r>
        <w:rPr>
          <w:rStyle w:val="VerbatimChar"/>
        </w:rPr>
        <w:t xml:space="preserve">analyze_dplane</w:t>
      </w:r>
      <w:r>
        <w:t xml:space="preserve"> </w:t>
      </w:r>
      <w:r>
        <w:t xml:space="preserve">accepts travel, face-normal, target, and up vectors with</w:t>
      </w:r>
      <w:r>
        <w:t xml:space="preserve"> </w:t>
      </w:r>
      <w:r>
        <w:t xml:space="preserve">exactly three finite components. Face normal, target, and up must each have</w:t>
      </w:r>
      <w:r>
        <w:t xml:space="preserve"> </w:t>
      </w:r>
      <w:r>
        <w:t xml:space="preserve">Euclidean norm greater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 Target and up must be orthogonal to</w:t>
      </w:r>
      <w:r>
        <w:t xml:space="preserve"> </w:t>
      </w:r>
      <w:r>
        <w:t xml:space="preserve">absolute dot product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The Rate-of-Closure adapter additionally</w:t>
      </w:r>
      <w:r>
        <w:t xml:space="preserve"> </w:t>
      </w:r>
      <w:r>
        <w:t xml:space="preserve">requires a typed</w:t>
      </w:r>
      <w:r>
        <w:t xml:space="preserve"> </w:t>
      </w:r>
      <w:r>
        <w:rPr>
          <w:rStyle w:val="VerbatimChar"/>
        </w:rPr>
        <w:t xml:space="preserve">SimulationRun</w:t>
      </w:r>
      <w:r>
        <w:t xml:space="preserve"> </w:t>
      </w:r>
      <w:r>
        <w:t xml:space="preserve">with increasing sample times and internally</w:t>
      </w:r>
      <w:r>
        <w:t xml:space="preserve"> </w:t>
      </w:r>
      <w:r>
        <w:t xml:space="preserve">consistent pose, twist, club, scenario, and inspection-event records.</w:t>
      </w:r>
    </w:p>
    <w:bookmarkEnd w:id="49"/>
    <w:bookmarkStart w:id="50" w:name="postconditions"/>
    <w:p>
      <w:pPr>
        <w:pStyle w:val="Heading3"/>
      </w:pPr>
      <w:r>
        <w:t xml:space="preserve">Postconditions</w:t>
      </w:r>
    </w:p>
    <w:p>
      <w:pPr>
        <w:pStyle w:val="FirstParagraph"/>
      </w:pPr>
      <w:r>
        <w:t xml:space="preserve">Every available direction is normalized and every angle is in degrees. Spin</w:t>
      </w:r>
      <w:r>
        <w:t xml:space="preserve"> </w:t>
      </w:r>
      <w:r>
        <w:t xml:space="preserve">loft is the principal angle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]</m:t>
        </m:r>
      </m:oMath>
      <w:r>
        <w:t xml:space="preserve">. A defined D-plane supplies a unit</w:t>
      </w:r>
      <w:r>
        <w:t xml:space="preserve"> </w:t>
      </w:r>
      <w:r>
        <w:t xml:space="preserve">normal perpendicular to travel and face. Zero, parallel, antiparallel, and</w:t>
      </w:r>
      <w:r>
        <w:t xml:space="preserve"> </w:t>
      </w:r>
      <w:r>
        <w:t xml:space="preserve">unprojectable states return explicit status or null fields; they never invent a</w:t>
      </w:r>
      <w:r>
        <w:t xml:space="preserve"> </w:t>
      </w:r>
      <w:r>
        <w:t xml:space="preserve">plane, horizontal heading, or face-to-path result.</w:t>
      </w:r>
    </w:p>
    <w:bookmarkEnd w:id="50"/>
    <w:bookmarkStart w:id="51" w:name="invariants"/>
    <w:p>
      <w:pPr>
        <w:pStyle w:val="Heading3"/>
      </w:pPr>
      <w:r>
        <w:t xml:space="preserve">Invariants</w:t>
      </w:r>
    </w:p>
    <w:p>
      <w:pPr>
        <w:pStyle w:val="FirstParagraph"/>
      </w:pPr>
      <w:r>
        <w:t xml:space="preserve">A common proper rotation of travel, face, target, and up preserves spin loft,</w:t>
      </w:r>
      <w:r>
        <w:t xml:space="preserve"> </w:t>
      </w:r>
      <w:r>
        <w:t xml:space="preserve">planar spin loft, face-to-path, and intrinsic tilt. Reflecting the right axis</w:t>
      </w:r>
      <w:r>
        <w:t xml:space="preserve"> </w:t>
      </w:r>
      <w:r>
        <w:t xml:space="preserve">reverses signed horizontal relationships while preserving spin loft.</w:t>
      </w:r>
      <w:r>
        <w:t xml:space="preserve"> </w:t>
      </w:r>
      <w:r>
        <w:t xml:space="preserve">Multiplying a nonzero travel vector by a positive scalar does not change the</w:t>
      </w:r>
      <w:r>
        <w:t xml:space="preserve"> </w:t>
      </w:r>
      <w:r>
        <w:t xml:space="preserve">geometry because only direction enters the method.</w:t>
      </w:r>
    </w:p>
    <w:bookmarkEnd w:id="51"/>
    <w:bookmarkEnd w:id="52"/>
    <w:bookmarkStart w:id="57" w:name="coordinates-frames-and-time"/>
    <w:p>
      <w:pPr>
        <w:pStyle w:val="Heading2"/>
      </w:pPr>
      <w:r>
        <w:t xml:space="preserve">Coordinates, Frames, and Time</w:t>
      </w:r>
    </w:p>
    <w:bookmarkStart w:id="54" w:name="coordinate-frames"/>
    <w:p>
      <w:pPr>
        <w:pStyle w:val="Heading3"/>
      </w:pPr>
      <w:r>
        <w:t xml:space="preserve">Coordinate Frames</w:t>
      </w:r>
    </w:p>
    <w:p>
      <w:pPr>
        <w:pStyle w:val="FirstParagraph"/>
      </w:pPr>
      <w:bookmarkStart w:id="53" w:name="dplane-coordinate-frame"/>
      <w:bookmarkEnd w:id="53"/>
    </w:p>
    <w:p>
      <w:pPr>
        <w:pStyle w:val="BodyText"/>
      </w:pPr>
      <w:r>
        <w:t xml:space="preserve">The default application frame is</w:t>
      </w:r>
      <w:r>
        <w:t xml:space="preserve"> </w:t>
      </w:r>
      <w:r>
        <w:rPr>
          <w:rStyle w:val="VerbatimChar"/>
        </w:rPr>
        <w:t xml:space="preserve">app_frame:x_target,y_up,z_right</w:t>
      </w:r>
      <w:r>
        <w:t xml:space="preserve">. Let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t</m:t>
            </m:r>
          </m:e>
        </m:acc>
      </m:oMath>
      <w:r>
        <w:t xml:space="preserve"> </w:t>
      </w:r>
      <w:r>
        <w:t xml:space="preserve">be target 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</m:oMath>
      <w:r>
        <w:t xml:space="preserve"> </w:t>
      </w:r>
      <w:r>
        <w:t xml:space="preserve">be up. The implementation constructs right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t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t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Rate of Closure interpolates the inspection-event rigid transform and twist,</w:t>
      </w:r>
      <w:r>
        <w:t xml:space="preserve"> </w:t>
      </w:r>
      <w:r>
        <w:t xml:space="preserve">then expresses reference, face-center, and contact vectors in this same frame.</w:t>
      </w:r>
    </w:p>
    <w:bookmarkEnd w:id="54"/>
    <w:bookmarkStart w:id="55" w:name="axis-and-handedness"/>
    <w:p>
      <w:pPr>
        <w:pStyle w:val="Heading3"/>
      </w:pPr>
      <w:r>
        <w:t xml:space="preserve">Axis and Handedness</w:t>
      </w:r>
    </w:p>
    <w:p>
      <w:pPr>
        <w:pStyle w:val="FirstParagraph"/>
      </w:pPr>
      <w:r>
        <w:t xml:space="preserve">Positive path and face headings rotate from target toward right. Elevation is</w:t>
      </w:r>
      <w:r>
        <w:t xml:space="preserve"> </w:t>
      </w:r>
      <w:r>
        <w:t xml:space="preserve">positive toward up. Target-times-up fixes the sign of right; reversing the</w:t>
      </w:r>
      <w:r>
        <w:t xml:space="preserve"> </w:t>
      </w:r>
      <w:r>
        <w:t xml:space="preserve">cross-product order would reverse every signed horizontal result. The D-plane</w:t>
      </w:r>
      <w:r>
        <w:t xml:space="preserve"> </w:t>
      </w:r>
      <w:r>
        <w:t xml:space="preserve">normal is travel-times-face, so its orientation also depends on declared order.</w:t>
      </w:r>
    </w:p>
    <w:bookmarkEnd w:id="55"/>
    <w:bookmarkStart w:id="56" w:name="time-convention"/>
    <w:p>
      <w:pPr>
        <w:pStyle w:val="Heading3"/>
      </w:pPr>
      <w:r>
        <w:t xml:space="preserve">Time Convention</w:t>
      </w:r>
    </w:p>
    <w:p>
      <w:pPr>
        <w:pStyle w:val="FirstParagraph"/>
      </w:pPr>
      <w:r>
        <w:t xml:space="preserve">The geometry is instantaneous and has no integration clock. Rate of Closure</w:t>
      </w:r>
      <w:r>
        <w:t xml:space="preserve"> </w:t>
      </w:r>
      <w:r>
        <w:t xml:space="preserve">evaluates it at</w:t>
      </w:r>
      <w:r>
        <w:t xml:space="preserve"> </w:t>
      </w:r>
      <w:r>
        <w:rPr>
          <w:rStyle w:val="VerbatimChar"/>
        </w:rPr>
        <w:t xml:space="preserve">inspection_time_s</w:t>
      </w:r>
      <w:r>
        <w:t xml:space="preserve">. Pose and twist are interpolated to that</w:t>
      </w:r>
      <w:r>
        <w:t xml:space="preserve"> </w:t>
      </w:r>
      <w:r>
        <w:t xml:space="preserve">event time; the closest sampled index is audit metadata and a bounded tangent</w:t>
      </w:r>
      <w:r>
        <w:t xml:space="preserve"> </w:t>
      </w:r>
      <w:r>
        <w:t xml:space="preserve">fallback. A miss remains a closest-approach event and is not relabeled impact.</w:t>
      </w:r>
    </w:p>
    <w:bookmarkEnd w:id="56"/>
    <w:bookmarkEnd w:id="57"/>
    <w:bookmarkStart w:id="60" w:name="units-and-dimensions"/>
    <w:p>
      <w:pPr>
        <w:pStyle w:val="Heading2"/>
      </w:pPr>
      <w:r>
        <w:t xml:space="preserve">Units and Dimensions</w:t>
      </w:r>
    </w:p>
    <w:bookmarkStart w:id="58" w:name="symbol-and-unit-table"/>
    <w:p>
      <w:pPr>
        <w:pStyle w:val="Heading3"/>
      </w:pPr>
      <w:r>
        <w:t xml:space="preserve">Symbol and Unit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 or 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reference, face-center, or contact velocity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n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delivered face normal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t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target, up, right axes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three-dimensional spin loft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ℓ</m:t>
              </m:r>
            </m:oMath>
          </w:p>
        </w:tc>
        <w:tc>
          <w:tcPr/>
          <w:p>
            <w:pPr>
              <w:pStyle w:val="Compact"/>
            </w:pPr>
            <w:r>
              <w:t xml:space="preserve">path, attack, face, and dynamic-loft angles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D-plane normal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event_time_s</w:t>
            </w:r>
          </w:p>
        </w:tc>
        <w:tc>
          <w:tcPr/>
          <w:p>
            <w:pPr>
              <w:pStyle w:val="Compact"/>
            </w:pPr>
            <w:r>
              <w:t xml:space="preserve">interpolation time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58"/>
    <w:bookmarkStart w:id="59" w:name="dimensional-checks"/>
    <w:p>
      <w:pPr>
        <w:pStyle w:val="Heading3"/>
      </w:pPr>
      <w:r>
        <w:t xml:space="preserve">Dimensional Checks</w:t>
      </w:r>
    </w:p>
    <w:p>
      <w:pPr>
        <w:pStyle w:val="FirstParagraph"/>
      </w:pPr>
      <w:r>
        <w:t xml:space="preserve">Normalizing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divides m/s by m/s, producing a unit direction. Dot and</w:t>
      </w:r>
      <w:r>
        <w:t xml:space="preserve"> </w:t>
      </w:r>
      <w:r>
        <w:t xml:space="preserve">cross products operate on dimensionless directions.</w:t>
      </w:r>
      <w:r>
        <w:t xml:space="preserve"> </w:t>
      </w:r>
      <w:r>
        <w:rPr>
          <w:rStyle w:val="VerbatimChar"/>
        </w:rPr>
        <w:t xml:space="preserve">acos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atan2</w:t>
      </w:r>
      <w:r>
        <w:t xml:space="preserve"> </w:t>
      </w:r>
      <w:r>
        <w:t xml:space="preserve">return dimensionless radians, converted to degrees. The rigid-body equation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ω</m:t>
        </m:r>
        <m:r>
          <m:rPr>
            <m:sty m:val="p"/>
          </m:rPr>
          <m:t>×</m:t>
        </m:r>
        <m:sSub>
          <m:e>
            <m:r>
              <m:rPr>
                <m:sty m:val="b"/>
              </m:rPr>
              <m:t>r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is consistent:</w:t>
      </w:r>
      <w:r>
        <w:t xml:space="preserve"> </w:t>
      </w:r>
      <w:r>
        <w:t xml:space="preserve">rad/s is treated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, and multiplying by metres produces m/s.</w:t>
      </w:r>
    </w:p>
    <w:bookmarkEnd w:id="59"/>
    <w:bookmarkEnd w:id="60"/>
    <w:bookmarkStart w:id="65" w:name="derivation-and-assumptions"/>
    <w:p>
      <w:pPr>
        <w:pStyle w:val="Heading2"/>
      </w:pPr>
      <w:r>
        <w:t xml:space="preserve">Derivation and Assumptions</w:t>
      </w:r>
    </w:p>
    <w:bookmarkStart w:id="61" w:name="assumptions"/>
    <w:p>
      <w:pPr>
        <w:pStyle w:val="Heading3"/>
      </w:pPr>
      <w:r>
        <w:t xml:space="preserve">Assumptions</w:t>
      </w:r>
    </w:p>
    <w:p>
      <w:pPr>
        <w:pStyle w:val="FirstParagraph"/>
      </w:pPr>
      <w:r>
        <w:t xml:space="preserve">The calculation assumes Euclidean three-space, a right-handed orthonormal</w:t>
      </w:r>
      <w:r>
        <w:t xml:space="preserve"> </w:t>
      </w:r>
      <w:r>
        <w:t xml:space="preserve">target frame, finite floating-point inputs, and one instantaneous delivered</w:t>
      </w:r>
      <w:r>
        <w:t xml:space="preserve"> </w:t>
      </w:r>
      <w:r>
        <w:t xml:space="preserve">face normal. It treats the D-plane as geometry spanned by travel and face;</w:t>
      </w:r>
      <w:r>
        <w:t xml:space="preserve"> </w:t>
      </w:r>
      <w:r>
        <w:t xml:space="preserve">collision dynamics and aerodynamic response lie outside this method. Rate of</w:t>
      </w:r>
      <w:r>
        <w:t xml:space="preserve"> </w:t>
      </w:r>
      <w:r>
        <w:t xml:space="preserve">Closure assumes its interpolated homogeneous pose is rigid and its twist stores</w:t>
      </w:r>
      <w:r>
        <w:t xml:space="preserve"> </w:t>
      </w:r>
      <w:r>
        <w:t xml:space="preserve">angular components followed by translational components.</w:t>
      </w:r>
    </w:p>
    <w:bookmarkEnd w:id="61"/>
    <w:bookmarkStart w:id="64" w:name="derivation"/>
    <w:p>
      <w:pPr>
        <w:pStyle w:val="Heading3"/>
      </w:pPr>
      <w:r>
        <w:t xml:space="preserve">Derivation</w:t>
      </w:r>
    </w:p>
    <w:p>
      <w:pPr>
        <w:pStyle w:val="FirstParagraph"/>
      </w:pPr>
      <w:r>
        <w:t xml:space="preserve">Normalize travel and face as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v</m:t>
            </m:r>
          </m:e>
        </m:acc>
        <m:r>
          <m:rPr>
            <m:sty m:val="p"/>
          </m:rPr>
          <m:t>=</m:t>
        </m:r>
        <m:r>
          <m:rPr>
            <m:sty m:val="b"/>
          </m:rPr>
          <m:t>v</m:t>
        </m:r>
        <m:r>
          <m:rPr>
            <m:sty m:val="p"/>
          </m:rPr>
          <m:t>/</m:t>
        </m:r>
        <m:d>
          <m:dPr>
            <m:begChr m:val="‖"/>
            <m:sepChr m:val=""/>
            <m:endChr m:val="‖"/>
            <m:grow/>
          </m:dPr>
          <m:e>
            <m:r>
              <m:rPr>
                <m:sty m:val="b"/>
              </m:rPr>
              <m:t>v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n</m:t>
            </m:r>
          </m:e>
        </m:acc>
        <m:r>
          <m:rPr>
            <m:sty m:val="p"/>
          </m:rPr>
          <m:t>=</m:t>
        </m:r>
        <m:r>
          <m:rPr>
            <m:sty m:val="b"/>
          </m:rPr>
          <m:t>n</m:t>
        </m:r>
        <m:r>
          <m:rPr>
            <m:sty m:val="p"/>
          </m:rPr>
          <m:t>/</m:t>
        </m:r>
        <m:d>
          <m:dPr>
            <m:begChr m:val="‖"/>
            <m:sepChr m:val=""/>
            <m:endChr m:val="‖"/>
            <m:grow/>
          </m:dPr>
          <m:e>
            <m:r>
              <m:rPr>
                <m:sty m:val="b"/>
              </m:rPr>
              <m:t>n</m:t>
            </m:r>
          </m:e>
        </m:d>
      </m:oMath>
      <w:r>
        <w:t xml:space="preserve">. Their dot product is the</w:t>
      </w:r>
      <w:r>
        <w:t xml:space="preserve"> </w:t>
      </w:r>
      <w:r>
        <w:t xml:space="preserve">cosine of the included angle. Clipping protects</w:t>
      </w:r>
      <w:r>
        <w:t xml:space="preserve"> </w:t>
      </w:r>
      <w:r>
        <w:rPr>
          <w:rStyle w:val="VerbatimChar"/>
        </w:rPr>
        <w:t xml:space="preserve">acos</w:t>
      </w:r>
      <w:r>
        <w:t xml:space="preserve"> </w:t>
      </w:r>
      <w:r>
        <w:t xml:space="preserve">from roundoff beyond</w:t>
      </w:r>
      <w:r>
        <w:t xml:space="preserve"> </w:t>
      </w:r>
      <w:r>
        <w:t xml:space="preserve">the mathematical interval.</w:t>
      </w:r>
    </w:p>
    <w:p>
      <w:pPr>
        <w:pStyle w:val="BodyText"/>
      </w:pPr>
      <w:bookmarkStart w:id="62" w:name="dplane-spin-loft-equation"/>
      <w:bookmarkEnd w:id="62"/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180</m:t>
              </m:r>
            </m:num>
            <m:den>
              <m:r>
                <m:t>π</m:t>
              </m:r>
            </m:den>
          </m:f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clip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n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vectors are not collinear, the oriented plane normal is</w:t>
      </w:r>
    </w:p>
    <w:p>
      <w:pPr>
        <w:pStyle w:val="BodyText"/>
      </w:pPr>
      <w:bookmarkStart w:id="63" w:name="dplane-normal-equation"/>
      <w:bookmarkEnd w:id="63"/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n</m:t>
                  </m:r>
                </m:e>
              </m:acc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n</m:t>
                      </m:r>
                    </m:e>
                  </m:acc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direction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, remove its vertical component: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q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"/>
          </m:rPr>
          <m:t>q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Heading and elevation are</w:t>
      </w:r>
      <w:r>
        <w:t xml:space="preserve"> </w:t>
      </w:r>
      <m:oMath>
        <m:r>
          <m:rPr>
            <m:sty m:val="p"/>
          </m:rPr>
          <m:t>atan2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"/>
              </m:rPr>
              <m:t>r</m:t>
            </m:r>
          </m:e>
        </m:acc>
        <m:r>
          <m:rPr>
            <m:sty m:val="p"/>
          </m:rPr>
          <m:t>,</m:t>
        </m:r>
        <m:sSub>
          <m:e>
            <m:r>
              <m:rPr>
                <m:sty m:val="b"/>
              </m:rP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"/>
              </m:rPr>
              <m:t>t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atan2</m:t>
        </m:r>
        <m:r>
          <m:rPr>
            <m:sty m:val="p"/>
          </m:rPr>
          <m:t>(</m:t>
        </m:r>
        <m:r>
          <m:rPr>
            <m:sty m:val="b"/>
          </m:rPr>
          <m:t>q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  <m:r>
          <m:rPr>
            <m:sty m:val="p"/>
          </m:rPr>
          <m:t>,</m:t>
        </m:r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rPr>
                    <m:sty m:val="b"/>
                  </m:rPr>
                  <m:t>q</m:t>
                </m:r>
              </m:e>
              <m:sub>
                <m:r>
                  <m:t>h</m:t>
                </m:r>
              </m:sub>
            </m:sSub>
          </m:e>
        </m:d>
        <m:r>
          <m:rPr>
            <m:sty m:val="p"/>
          </m:rPr>
          <m:t>)</m:t>
        </m:r>
      </m:oMath>
      <w:r>
        <w:t xml:space="preserve">. Face-to-path wraps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Rate of Closure obtains face-center velocity from rigid-body kinematics before</w:t>
      </w:r>
      <w:r>
        <w:t xml:space="preserve"> </w:t>
      </w:r>
      <w:r>
        <w:t xml:space="preserve">applying the same geometry.</w:t>
      </w:r>
    </w:p>
    <w:bookmarkEnd w:id="64"/>
    <w:bookmarkEnd w:id="65"/>
    <w:bookmarkStart w:id="69" w:name="algorithm"/>
    <w:p>
      <w:pPr>
        <w:pStyle w:val="Heading2"/>
      </w:pPr>
      <w:r>
        <w:t xml:space="preserve">Algorithm</w:t>
      </w:r>
    </w:p>
    <w:bookmarkStart w:id="66" w:name="inputs"/>
    <w:p>
      <w:pPr>
        <w:pStyle w:val="Heading3"/>
      </w:pPr>
      <w:r>
        <w:t xml:space="preserve">Inputs</w:t>
      </w:r>
    </w:p>
    <w:p>
      <w:pPr>
        <w:pStyle w:val="FirstParagraph"/>
      </w:pPr>
      <w:r>
        <w:t xml:space="preserve">The standalone calculation consumes</w:t>
      </w:r>
      <w:r>
        <w:t xml:space="preserve"> </w:t>
      </w:r>
      <w:r>
        <w:rPr>
          <w:rStyle w:val="VerbatimChar"/>
        </w:rPr>
        <w:t xml:space="preserve">travel_vector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face_normal</w:t>
      </w:r>
      <w:r>
        <w:t xml:space="preserve">,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</w:t>
      </w:r>
      <w:r>
        <w:t xml:space="preserve">, and descriptive</w:t>
      </w:r>
      <w:r>
        <w:t xml:space="preserve"> </w:t>
      </w:r>
      <w:r>
        <w:rPr>
          <w:rStyle w:val="VerbatimChar"/>
        </w:rPr>
        <w:t xml:space="preserve">frame_id</w:t>
      </w:r>
      <w:r>
        <w:t xml:space="preserve">. The consumer</w:t>
      </w:r>
      <w:r>
        <w:t xml:space="preserve"> </w:t>
      </w:r>
      <w:r>
        <w:t xml:space="preserve">accepts one immutable</w:t>
      </w:r>
      <w:r>
        <w:t xml:space="preserve"> </w:t>
      </w:r>
      <w:r>
        <w:rPr>
          <w:rStyle w:val="VerbatimChar"/>
        </w:rPr>
        <w:t xml:space="preserve">SimulationRun</w:t>
      </w:r>
      <w:r>
        <w:t xml:space="preserve"> </w:t>
      </w:r>
      <w:r>
        <w:t xml:space="preserve">and derives inspection pose, twist,</w:t>
      </w:r>
      <w:r>
        <w:t xml:space="preserve"> </w:t>
      </w:r>
      <w:r>
        <w:t xml:space="preserve">shaft geometry, contact lever, face normal, leading-edge tangent, and arc</w:t>
      </w:r>
      <w:r>
        <w:t xml:space="preserve"> </w:t>
      </w:r>
      <w:r>
        <w:t xml:space="preserve">tangent rather than asking callers to assemble those values.</w:t>
      </w:r>
    </w:p>
    <w:bookmarkEnd w:id="66"/>
    <w:bookmarkStart w:id="67" w:name="procedure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3"/>
        </w:numPr>
      </w:pPr>
      <w:r>
        <w:t xml:space="preserve">Convert each vector to a finite three-component array and validate the frame.</w:t>
      </w:r>
    </w:p>
    <w:p>
      <w:pPr>
        <w:pStyle w:val="Compact"/>
        <w:numPr>
          <w:ilvl w:val="0"/>
          <w:numId w:val="1003"/>
        </w:numPr>
      </w:pPr>
      <w:r>
        <w:t xml:space="preserve">Normalize face, target, and up; derive right from target-times-up.</w:t>
      </w:r>
    </w:p>
    <w:p>
      <w:pPr>
        <w:pStyle w:val="Compact"/>
        <w:numPr>
          <w:ilvl w:val="0"/>
          <w:numId w:val="1003"/>
        </w:numPr>
      </w:pPr>
      <w:r>
        <w:t xml:space="preserve">Compute face heading and dynamic loft even if travel is zero.</w:t>
      </w:r>
    </w:p>
    <w:p>
      <w:pPr>
        <w:pStyle w:val="Compact"/>
        <w:numPr>
          <w:ilvl w:val="0"/>
          <w:numId w:val="100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zero_travel</w:t>
      </w:r>
      <w:r>
        <w:t xml:space="preserve"> </w:t>
      </w:r>
      <w:r>
        <w:t xml:space="preserve">when travel norm is at most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Normalize travel; compute path, attack, face-to-path, and spin loft.</w:t>
      </w:r>
    </w:p>
    <w:p>
      <w:pPr>
        <w:pStyle w:val="Compact"/>
        <w:numPr>
          <w:ilvl w:val="0"/>
          <w:numId w:val="100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antiparallel</w:t>
      </w:r>
      <w:r>
        <w:t xml:space="preserve"> </w:t>
      </w:r>
      <w:r>
        <w:t xml:space="preserve">for a singular cross product.</w:t>
      </w:r>
    </w:p>
    <w:p>
      <w:pPr>
        <w:pStyle w:val="Compact"/>
        <w:numPr>
          <w:ilvl w:val="0"/>
          <w:numId w:val="1003"/>
        </w:numPr>
      </w:pPr>
      <w:r>
        <w:t xml:space="preserve">Otherwise derive plane normal, tilt, inclination, and ground intersection.</w:t>
      </w:r>
    </w:p>
    <w:p>
      <w:pPr>
        <w:pStyle w:val="Compact"/>
        <w:numPr>
          <w:ilvl w:val="0"/>
          <w:numId w:val="1003"/>
        </w:numPr>
      </w:pPr>
      <w:r>
        <w:t xml:space="preserve">Rate of Closure repeats the calculation for reference, face center, and</w:t>
      </w:r>
      <w:r>
        <w:t xml:space="preserve"> </w:t>
      </w:r>
      <w:r>
        <w:t xml:space="preserve">contact so a consumer cannot silently confuse those datums.</w:t>
      </w:r>
    </w:p>
    <w:p>
      <w:pPr>
        <w:pStyle w:val="FirstParagraph"/>
      </w:pPr>
      <w:r>
        <w:t xml:space="preserve">Standalone work is constant time and memory. Sector rendering is linear in the</w:t>
      </w:r>
      <w:r>
        <w:t xml:space="preserve"> </w:t>
      </w:r>
      <w:r>
        <w:t xml:space="preserve">caller-bounded segment count and returns</w:t>
      </w:r>
      <w:r>
        <w:t xml:space="preserve"> </w:t>
      </w:r>
      <w:r>
        <w:rPr>
          <w:rStyle w:val="VerbatimChar"/>
        </w:rPr>
        <w:t xml:space="preserve">segments + 1</w:t>
      </w:r>
      <w:r>
        <w:t xml:space="preserve"> </w:t>
      </w:r>
      <w:r>
        <w:t xml:space="preserve">unit directions.</w:t>
      </w:r>
    </w:p>
    <w:bookmarkEnd w:id="67"/>
    <w:bookmarkStart w:id="68" w:name="outputs"/>
    <w:p>
      <w:pPr>
        <w:pStyle w:val="Heading3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DPlaneAnalysis</w:t>
      </w:r>
      <w:r>
        <w:t xml:space="preserve"> </w:t>
      </w:r>
      <w:r>
        <w:t xml:space="preserve">returns status, frame, normalized basis vectors, optional</w:t>
      </w:r>
      <w:r>
        <w:t xml:space="preserve"> </w:t>
      </w:r>
      <w:r>
        <w:t xml:space="preserve">plane and ground-intersection directions, three-dimensional and planar spin</w:t>
      </w:r>
      <w:r>
        <w:t xml:space="preserve"> </w:t>
      </w:r>
      <w:r>
        <w:t xml:space="preserve">loft, residual, path, attack, face, dynamic loft, face-to-path, azimuth, tilt,</w:t>
      </w:r>
      <w:r>
        <w:t xml:space="preserve"> </w:t>
      </w:r>
      <w:r>
        <w:t xml:space="preserve">and inclination.</w:t>
      </w:r>
      <w:r>
        <w:t xml:space="preserve"> </w:t>
      </w:r>
      <w:r>
        <w:rPr>
          <w:rStyle w:val="VerbatimChar"/>
        </w:rPr>
        <w:t xml:space="preserve">ImpactKinematicSnapshot</w:t>
      </w:r>
      <w:r>
        <w:t xml:space="preserve"> </w:t>
      </w:r>
      <w:r>
        <w:t xml:space="preserve">wraps three analyses with event,</w:t>
      </w:r>
      <w:r>
        <w:t xml:space="preserve"> </w:t>
      </w:r>
      <w:r>
        <w:t xml:space="preserve">geometry basis, limitations, pose, and wedge-kinematics evidence.</w:t>
      </w:r>
    </w:p>
    <w:bookmarkEnd w:id="68"/>
    <w:bookmarkEnd w:id="69"/>
    <w:bookmarkStart w:id="72" w:name="implementation-symbols"/>
    <w:p>
      <w:pPr>
        <w:pStyle w:val="Heading2"/>
      </w:pPr>
      <w:r>
        <w:t xml:space="preserve">Implementation Symbols</w:t>
      </w:r>
    </w:p>
    <w:bookmarkStart w:id="70" w:name="public-symbols"/>
    <w:p>
      <w:pPr>
        <w:pStyle w:val="Heading3"/>
      </w:pPr>
      <w:r>
        <w:t xml:space="preserve">Public Symbols</w:t>
      </w:r>
    </w:p>
    <w:p>
      <w:pPr>
        <w:pStyle w:val="FirstParagraph"/>
      </w:pPr>
      <w:r>
        <w:t xml:space="preserve">The stable</w:t>
      </w:r>
      <w:r>
        <w:t xml:space="preserve"> </w:t>
      </w:r>
      <w:r>
        <w:rPr>
          <w:rStyle w:val="VerbatimChar"/>
        </w:rPr>
        <w:t xml:space="preserve">shared.python.swing_sim.impact</w:t>
      </w:r>
      <w:r>
        <w:t xml:space="preserve"> </w:t>
      </w:r>
      <w:r>
        <w:t xml:space="preserve">facade exports</w:t>
      </w:r>
      <w:r>
        <w:t xml:space="preserve"> </w:t>
      </w:r>
      <w:r>
        <w:rPr>
          <w:rStyle w:val="VerbatimChar"/>
        </w:rPr>
        <w:t xml:space="preserve">DPlaneStatus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DPlaneAnalysis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analyze_dplane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spin_loft_sector_directions</w:t>
      </w:r>
      <w:r>
        <w:t xml:space="preserve">. Rate of Closure exports</w:t>
      </w:r>
      <w:r>
        <w:t xml:space="preserve"> </w:t>
      </w:r>
      <w:r>
        <w:rPr>
          <w:rStyle w:val="VerbatimChar"/>
        </w:rPr>
        <w:t xml:space="preserve">ImpactKinematicSnapshot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impact_kinematics_for_run</w:t>
      </w:r>
      <w:r>
        <w:t xml:space="preserve">. Consumers should</w:t>
      </w:r>
      <w:r>
        <w:t xml:space="preserve"> </w:t>
      </w:r>
      <w:r>
        <w:t xml:space="preserve">not import private helpers such as</w:t>
      </w:r>
      <w:r>
        <w:t xml:space="preserve"> </w:t>
      </w:r>
      <w:r>
        <w:rPr>
          <w:rStyle w:val="VerbatimChar"/>
        </w:rPr>
        <w:t xml:space="preserve">_heading_deg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_shaft_geometry</w:t>
      </w:r>
      <w:r>
        <w:t xml:space="preserve">.</w:t>
      </w:r>
    </w:p>
    <w:bookmarkEnd w:id="70"/>
    <w:bookmarkStart w:id="71" w:name="source-mapping"/>
    <w:p>
      <w:pPr>
        <w:pStyle w:val="Heading3"/>
      </w:pPr>
      <w:r>
        <w:t xml:space="preserve">Source Mapping</w:t>
      </w:r>
    </w:p>
    <w:p>
      <w:pPr>
        <w:pStyle w:val="FirstParagraph"/>
      </w:pPr>
      <w:r>
        <w:t xml:space="preserve">Calculation</w:t>
      </w:r>
      <w:r>
        <w:t xml:space="preserve"> </w:t>
      </w:r>
      <w:r>
        <w:rPr>
          <w:rStyle w:val="VerbatimChar"/>
        </w:rPr>
        <w:t xml:space="preserve">TOOLS-DPLANE-GEOMETRY</w:t>
      </w:r>
      <w:r>
        <w:t xml:space="preserve"> </w:t>
      </w:r>
      <w:r>
        <w:t xml:space="preserve">maps spin loft, normal, heading,</w:t>
      </w:r>
      <w:r>
        <w:t xml:space="preserve"> </w:t>
      </w:r>
      <w:r>
        <w:t xml:space="preserve">elevation, singular states, and sectors to</w:t>
      </w:r>
      <w:r>
        <w:t xml:space="preserve"> </w:t>
      </w:r>
      <w:r>
        <w:rPr>
          <w:rStyle w:val="VerbatimChar"/>
        </w:rPr>
        <w:t xml:space="preserve">src/shared/python/swing_sim/impact/dplane.py</w:t>
      </w:r>
      <w:r>
        <w:t xml:space="preserve">. The Rate-of-Closure datum and</w:t>
      </w:r>
      <w:r>
        <w:t xml:space="preserve"> </w:t>
      </w:r>
      <w:r>
        <w:t xml:space="preserve">point-velocity mapping lives in</w:t>
      </w:r>
      <w:r>
        <w:t xml:space="preserve"> </w:t>
      </w:r>
      <w:r>
        <w:rPr>
          <w:rStyle w:val="VerbatimChar"/>
        </w:rPr>
        <w:t xml:space="preserve">src/rate_of_closure/simulation/impact_kinematics.py</w:t>
      </w:r>
      <w:r>
        <w:t xml:space="preserve">. Both are pinned to D3</w:t>
      </w:r>
      <w:r>
        <w:t xml:space="preserve"> </w:t>
      </w:r>
      <w:r>
        <w:t xml:space="preserve">base</w:t>
      </w:r>
      <w:r>
        <w:t xml:space="preserve"> </w:t>
      </w:r>
      <w:r>
        <w:rPr>
          <w:rStyle w:val="VerbatimChar"/>
        </w:rPr>
        <w:t xml:space="preserve">916fb9f27f486486f0c071dcc6f15f81f68ecb18</w:t>
      </w:r>
      <w:r>
        <w:t xml:space="preserve">; their provisional module</w:t>
      </w:r>
      <w:r>
        <w:t xml:space="preserve"> </w:t>
      </w:r>
      <w:r>
        <w:t xml:space="preserve">IDs and public symbols remain recorded in the module inventory.</w:t>
      </w:r>
    </w:p>
    <w:bookmarkEnd w:id="71"/>
    <w:bookmarkEnd w:id="72"/>
    <w:bookmarkStart w:id="75" w:name="error-and-failure-semantics"/>
    <w:p>
      <w:pPr>
        <w:pStyle w:val="Heading2"/>
      </w:pPr>
      <w:r>
        <w:t xml:space="preserve">Error and Failure Semantics</w:t>
      </w:r>
    </w:p>
    <w:bookmarkStart w:id="73" w:name="error-conditions"/>
    <w:p>
      <w:pPr>
        <w:pStyle w:val="Heading3"/>
      </w:pPr>
      <w:r>
        <w:t xml:space="preserve">Error Conditions</w:t>
      </w:r>
    </w:p>
    <w:p>
      <w:pPr>
        <w:pStyle w:val="FirstParagraph"/>
      </w:pPr>
      <w:r>
        <w:t xml:space="preserve">Wrong vector shape, non-finite values, zero face/target/up, or a nonorthogonal</w:t>
      </w:r>
      <w:r>
        <w:t xml:space="preserve"> </w:t>
      </w:r>
      <w:r>
        <w:t xml:space="preserve">frame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A non-</w:t>
      </w:r>
      <w:r>
        <w:rPr>
          <w:rStyle w:val="VerbatimChar"/>
        </w:rPr>
        <w:t xml:space="preserve">SimulationRun</w:t>
      </w:r>
      <w:r>
        <w:t xml:space="preserve"> </w:t>
      </w:r>
      <w:r>
        <w:t xml:space="preserve">input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  <w:r>
        <w:t xml:space="preserve"> </w:t>
      </w:r>
      <w:r>
        <w:t xml:space="preserve">Nonincreasing times, zero shaft geometry, zero path fallback, or degenerate</w:t>
      </w:r>
      <w:r>
        <w:t xml:space="preserve"> </w:t>
      </w:r>
      <w:r>
        <w:t xml:space="preserve">projected leading edge also fail preconditions. These failures are distinct</w:t>
      </w:r>
      <w:r>
        <w:t xml:space="preserve"> </w:t>
      </w:r>
      <w:r>
        <w:t xml:space="preserve">from valid singular geometry.</w:t>
      </w:r>
    </w:p>
    <w:bookmarkEnd w:id="73"/>
    <w:bookmarkStart w:id="74" w:name="recovery-and-cancellation"/>
    <w:p>
      <w:pPr>
        <w:pStyle w:val="Heading3"/>
      </w:pPr>
      <w:r>
        <w:t xml:space="preserve">Recovery and Cancellation</w:t>
      </w:r>
    </w:p>
    <w:p>
      <w:pPr>
        <w:pStyle w:val="FirstParagraph"/>
      </w:pPr>
      <w:r>
        <w:t xml:space="preserve">Callers recover by correcting source data or frame; the method does not coerce,</w:t>
      </w:r>
      <w:r>
        <w:t xml:space="preserve"> </w:t>
      </w:r>
      <w:r>
        <w:t xml:space="preserve">interpolate missing vectors, or substitute a default. Valid singular statuses</w:t>
      </w:r>
      <w:r>
        <w:t xml:space="preserve"> </w:t>
      </w:r>
      <w:r>
        <w:t xml:space="preserve">may be displayed with null fields intact. The synchronous calculation is</w:t>
      </w:r>
      <w:r>
        <w:t xml:space="preserve"> </w:t>
      </w:r>
      <w:r>
        <w:t xml:space="preserve">bounded and has no external I/O, so it has no mid-operation cancellation seam.</w:t>
      </w:r>
      <w:r>
        <w:t xml:space="preserve"> </w:t>
      </w:r>
      <w:r>
        <w:t xml:space="preserve">Higher-level cancellation occurs before calls or between complete runs.</w:t>
      </w:r>
    </w:p>
    <w:bookmarkEnd w:id="74"/>
    <w:bookmarkEnd w:id="75"/>
    <w:bookmarkStart w:id="78" w:name="uncertainty-and-sensitivity"/>
    <w:p>
      <w:pPr>
        <w:pStyle w:val="Heading2"/>
      </w:pPr>
      <w:r>
        <w:t xml:space="preserve">Uncertainty and Sensitivity</w:t>
      </w:r>
    </w:p>
    <w:bookmarkStart w:id="76" w:name="uncertainty-sources"/>
    <w:p>
      <w:pPr>
        <w:pStyle w:val="Heading3"/>
      </w:pPr>
      <w:r>
        <w:t xml:space="preserve">Uncertainty Sources</w:t>
      </w:r>
    </w:p>
    <w:p>
      <w:pPr>
        <w:pStyle w:val="FirstParagraph"/>
      </w:pPr>
      <w:r>
        <w:t xml:space="preserve">The implementation does not estimate covariance. Uncertainty can enter through</w:t>
      </w:r>
      <w:r>
        <w:t xml:space="preserve"> </w:t>
      </w:r>
      <w:r>
        <w:t xml:space="preserve">travel, face orientation, coordinate transform, event interpolation, club</w:t>
      </w:r>
      <w:r>
        <w:t xml:space="preserve"> </w:t>
      </w:r>
      <w:r>
        <w:t xml:space="preserve">geometry, or the choice of reference versus contact datum. Floating-point</w:t>
      </w:r>
      <w:r>
        <w:t xml:space="preserve"> </w:t>
      </w:r>
      <w:r>
        <w:t xml:space="preserve">clipping addresses numerical roundoff only; it is not a measurement uncertainty</w:t>
      </w:r>
      <w:r>
        <w:t xml:space="preserve"> </w:t>
      </w:r>
      <w:r>
        <w:t xml:space="preserve">model. Angles therefore remain model-conditioned rather than observed truth.</w:t>
      </w:r>
    </w:p>
    <w:bookmarkEnd w:id="76"/>
    <w:bookmarkStart w:id="77" w:name="sensitivity"/>
    <w:p>
      <w:pPr>
        <w:pStyle w:val="Heading3"/>
      </w:pPr>
      <w:r>
        <w:t xml:space="preserve">Sensitivity</w:t>
      </w:r>
    </w:p>
    <w:p>
      <w:pPr>
        <w:pStyle w:val="FirstParagraph"/>
      </w:pPr>
      <w:r>
        <w:t xml:space="preserve">Small perturbations are smooth away from singular states. Sensitivity rises</w:t>
      </w:r>
      <w:r>
        <w:t xml:space="preserve"> </w:t>
      </w:r>
      <w:r>
        <w:t xml:space="preserve">when horizontal projection approaches zero because heading becomes undefined,</w:t>
      </w:r>
      <w:r>
        <w:t xml:space="preserve"> </w:t>
      </w:r>
      <w:r>
        <w:t xml:space="preserve">and when travel and face approach parallel or antiparallel because a small cross</w:t>
      </w:r>
      <w:r>
        <w:t xml:space="preserve"> </w:t>
      </w:r>
      <w:r>
        <w:t xml:space="preserve">product cannot define a stable normal. The API exposes these limits as null or</w:t>
      </w:r>
      <w:r>
        <w:t xml:space="preserve"> </w:t>
      </w:r>
      <w:r>
        <w:t xml:space="preserve">typed status; downstream code must not carry forward a prior frame’s plane.</w:t>
      </w:r>
    </w:p>
    <w:bookmarkEnd w:id="77"/>
    <w:bookmarkEnd w:id="78"/>
    <w:bookmarkStart w:id="81" w:name="verification-and-validation"/>
    <w:p>
      <w:pPr>
        <w:pStyle w:val="Heading2"/>
      </w:pPr>
      <w:r>
        <w:t xml:space="preserve">Verification and Validation</w:t>
      </w:r>
    </w:p>
    <w:bookmarkStart w:id="79" w:name="test-evidence"/>
    <w:p>
      <w:pPr>
        <w:pStyle w:val="Heading3"/>
      </w:pPr>
      <w:r>
        <w:t xml:space="preserve">Test Evidence</w:t>
      </w:r>
    </w:p>
    <w:p>
      <w:pPr>
        <w:pStyle w:val="FirstParagraph"/>
      </w:pPr>
      <w:r>
        <w:rPr>
          <w:rStyle w:val="VerbatimChar"/>
        </w:rPr>
        <w:t xml:space="preserve">test_matches_cross_client_golden_contract</w:t>
      </w:r>
      <w:r>
        <w:t xml:space="preserve"> </w:t>
      </w:r>
      <w:r>
        <w:t xml:space="preserve">executes three analytical cases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dplane_golden_v1.json</w:t>
      </w:r>
      <w:r>
        <w:t xml:space="preserve"> </w:t>
      </w:r>
      <w:r>
        <w:t xml:space="preserve">at absolute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degree.</w:t>
      </w:r>
      <w:r>
        <w:t xml:space="preserve"> </w:t>
      </w:r>
      <w:r>
        <w:t xml:space="preserve">Singular-state tests cover zero travel, parallel, antiparallel, vertical</w:t>
      </w:r>
      <w:r>
        <w:t xml:space="preserve"> </w:t>
      </w:r>
      <w:r>
        <w:t xml:space="preserve">projection, and invalid frames. Rotation and reflection tests pin invariants.</w:t>
      </w:r>
      <w:r>
        <w:t xml:space="preserve"> </w:t>
      </w:r>
      <w:r>
        <w:t xml:space="preserve">The Rate-of-Closure integration test derives face-center velocity independently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ω</m:t>
        </m:r>
        <m:r>
          <m:rPr>
            <m:sty m:val="p"/>
          </m:rPr>
          <m:t>×</m:t>
        </m:r>
        <m:r>
          <m:rPr>
            <m:sty m:val="b"/>
          </m:rPr>
          <m:t>r</m:t>
        </m:r>
      </m:oMath>
      <w:r>
        <w:t xml:space="preserve">, then proves the consumer</w:t>
      </w:r>
      <w:r>
        <w:t xml:space="preserve"> </w:t>
      </w:r>
      <w:r>
        <w:t xml:space="preserve">normalizes that value for its face-center D-plane.</w:t>
      </w:r>
    </w:p>
    <w:bookmarkEnd w:id="79"/>
    <w:bookmarkStart w:id="80" w:name="acceptance-criteria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The exemplar passes only when strict JSON Schema and typed loader agree;</w:t>
      </w:r>
      <w:r>
        <w:t xml:space="preserve"> </w:t>
      </w:r>
      <w:r>
        <w:t xml:space="preserve">calculation, chapter, module, source, consumer, test, and golden-fixture links</w:t>
      </w:r>
      <w:r>
        <w:t xml:space="preserve"> </w:t>
      </w:r>
      <w:r>
        <w:t xml:space="preserve">all resolve; the fourteen-section linter and focused tests pass; and HTML,</w:t>
      </w:r>
      <w:r>
        <w:t xml:space="preserve"> </w:t>
      </w:r>
      <w:r>
        <w:t xml:space="preserve">LaTeX, PDF, and DOCX share the governed semantic digest. This evidence verifies</w:t>
      </w:r>
      <w:r>
        <w:t xml:space="preserve"> </w:t>
      </w:r>
      <w:r>
        <w:t xml:space="preserve">reproduction, not scientific or publication approval.</w:t>
      </w:r>
    </w:p>
    <w:bookmarkEnd w:id="80"/>
    <w:bookmarkEnd w:id="81"/>
    <w:bookmarkStart w:id="84" w:name="limits-and-applicability"/>
    <w:p>
      <w:pPr>
        <w:pStyle w:val="Heading2"/>
      </w:pPr>
      <w:r>
        <w:t xml:space="preserve">Limits and Applicability</w:t>
      </w:r>
    </w:p>
    <w:bookmarkStart w:id="82" w:name="validity-range"/>
    <w:p>
      <w:pPr>
        <w:pStyle w:val="Heading3"/>
      </w:pPr>
      <w:r>
        <w:t xml:space="preserve">Validity Range</w:t>
      </w:r>
    </w:p>
    <w:p>
      <w:pPr>
        <w:pStyle w:val="FirstParagraph"/>
      </w:pPr>
      <w:r>
        <w:t xml:space="preserve">Finite vectors may have any representable scale, but face and frame axes must</w:t>
      </w:r>
      <w:r>
        <w:t xml:space="preserve"> </w:t>
      </w:r>
      <w:r>
        <w:t xml:space="preserve">exceed norm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and target/up orthogonality must satisfy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  <w:r>
        <w:t xml:space="preserve"> </w:t>
      </w:r>
      <w:r>
        <w:t xml:space="preserve">Spin loft spans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degrees. Signed relationships wrap 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</m:oMath>
      <w:r>
        <w:t xml:space="preserve">. The golden fixture qualifies only its declared cases 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-degree tolerance.</w:t>
      </w:r>
    </w:p>
    <w:bookmarkEnd w:id="82"/>
    <w:bookmarkStart w:id="83" w:name="known-limitations"/>
    <w:p>
      <w:pPr>
        <w:pStyle w:val="Heading3"/>
      </w:pPr>
      <w:r>
        <w:t xml:space="preserve">Known Limitations</w:t>
      </w:r>
    </w:p>
    <w:p>
      <w:pPr>
        <w:pStyle w:val="FirstParagraph"/>
      </w:pPr>
      <w:r>
        <w:t xml:space="preserve">The method does not compute ball response, impulse, spin rate, lift, drag,</w:t>
      </w:r>
      <w:r>
        <w:t xml:space="preserve"> </w:t>
      </w:r>
      <w:r>
        <w:t xml:space="preserve">landing, biomechanics, or camera-derived pose. It does not establish that an</w:t>
      </w:r>
      <w:r>
        <w:t xml:space="preserve"> </w:t>
      </w:r>
      <w:r>
        <w:t xml:space="preserve">external device’s axes, timestamps, or face normal match this contract. Rate of</w:t>
      </w:r>
      <w:r>
        <w:t xml:space="preserve"> </w:t>
      </w:r>
      <w:r>
        <w:t xml:space="preserve">Closure downstream flight currently consumes reference-point translation;</w:t>
      </w:r>
      <w:r>
        <w:t xml:space="preserve"> </w:t>
      </w:r>
      <w:r>
        <w:t xml:space="preserve">shaft-induced contact velocity remains analysis. The markerless-mocap exemplar</w:t>
      </w:r>
      <w:r>
        <w:t xml:space="preserve"> </w:t>
      </w:r>
      <w:r>
        <w:t xml:space="preserve">is deliberately absent because TOOLS-M0 issue #4708 and PR #4734 are open and</w:t>
      </w:r>
      <w:r>
        <w:t xml:space="preserve"> </w:t>
      </w:r>
      <w:r>
        <w:t xml:space="preserve">no markerless module exists on this D3 base. Unmerged content is not promoted.</w:t>
      </w:r>
    </w:p>
    <w:bookmarkEnd w:id="83"/>
    <w:bookmarkEnd w:id="84"/>
    <w:bookmarkStart w:id="87" w:name="worked-examples"/>
    <w:p>
      <w:pPr>
        <w:pStyle w:val="Heading2"/>
      </w:pPr>
      <w:r>
        <w:t xml:space="preserve">Worked Examples</w:t>
      </w:r>
    </w:p>
    <w:bookmarkStart w:id="85" w:name="example-inputs"/>
    <w:p>
      <w:pPr>
        <w:pStyle w:val="Heading3"/>
      </w:pPr>
      <w:r>
        <w:t xml:space="preserve">Example Inputs</w:t>
      </w:r>
    </w:p>
    <w:p>
      <w:pPr>
        <w:pStyle w:val="FirstParagraph"/>
      </w:pPr>
      <w:r>
        <w:t xml:space="preserve">The governed</w:t>
      </w:r>
      <w:r>
        <w:t xml:space="preserve"> </w:t>
      </w:r>
      <w:r>
        <w:rPr>
          <w:rStyle w:val="VerbatimChar"/>
        </w:rPr>
        <w:t xml:space="preserve">square-descending</w:t>
      </w:r>
      <w:r>
        <w:t xml:space="preserve"> </w:t>
      </w:r>
      <w:r>
        <w:t xml:space="preserve">fixture supplies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0.9986295347545738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0.052335956242943835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path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attack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Its face normal is</w:t>
      </w:r>
      <w:r>
        <w:t xml:space="preserve"> </w:t>
      </w:r>
      <m:oMath>
        <m:r>
          <m:rPr>
            <m:sty m:val="b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0.9781476007338057</m:t>
        </m:r>
        <m:r>
          <m:rPr>
            <m:sty m:val="p"/>
          </m:rPr>
          <m:t>,</m:t>
        </m:r>
        <m:r>
          <m:t>0.20791169081775934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face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 dynamic loft</w:t>
      </w:r>
      <w:r>
        <w:t xml:space="preserve"> </w:t>
      </w:r>
      <m:oMath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Target and up use default unit axes.</w:t>
      </w:r>
      <w:r>
        <w:t xml:space="preserve"> </w:t>
      </w:r>
      <w:r>
        <w:t xml:space="preserve">The fixture tolerance is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degree.</w:t>
      </w:r>
    </w:p>
    <w:bookmarkEnd w:id="85"/>
    <w:bookmarkStart w:id="86" w:name="example-results"/>
    <w:p>
      <w:pPr>
        <w:pStyle w:val="Heading3"/>
      </w:pPr>
      <w:r>
        <w:t xml:space="preserve">Example Results</w:t>
      </w:r>
    </w:p>
    <w:p>
      <w:pPr>
        <w:pStyle w:val="FirstParagraph"/>
      </w:pPr>
      <w:r>
        <w:t xml:space="preserve">The dot product is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so spin loft is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Dynamic loft</w:t>
      </w:r>
      <w:r>
        <w:t xml:space="preserve"> </w:t>
      </w:r>
      <w:r>
        <w:t xml:space="preserve">minus attack is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making planar residual zero.</w:t>
      </w:r>
      <w:r>
        <w:t xml:space="preserve"> </w:t>
      </w:r>
      <w:r>
        <w:t xml:space="preserve">Travel-times-face points along right, giving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tilt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inclination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and ground</w:t>
      </w:r>
      <w:r>
        <w:t xml:space="preserve"> </w:t>
      </w:r>
      <w:r>
        <w:t xml:space="preserve">intersection at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Status is</w:t>
      </w:r>
      <w:r>
        <w:t xml:space="preserve"> </w:t>
      </w:r>
      <w:r>
        <w:rPr>
          <w:rStyle w:val="VerbatimChar"/>
        </w:rPr>
        <w:t xml:space="preserve">defined</w:t>
      </w:r>
      <w:r>
        <w:t xml:space="preserve">. Values come from the</w:t>
      </w:r>
      <w:r>
        <w:t xml:space="preserve"> </w:t>
      </w:r>
      <w:r>
        <w:t xml:space="preserve">cross-client golden fixture and executable Python test, not renderer-only text.</w:t>
      </w:r>
    </w:p>
    <w:bookmarkEnd w:id="86"/>
    <w:bookmarkEnd w:id="87"/>
    <w:bookmarkStart w:id="90" w:name="references-and-provenance"/>
    <w:p>
      <w:pPr>
        <w:pStyle w:val="Heading2"/>
      </w:pPr>
      <w:r>
        <w:t xml:space="preserve">References and Provenance</w:t>
      </w:r>
    </w:p>
    <w:bookmarkStart w:id="88" w:name="references-1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Primary implementation authority is exact source at</w:t>
      </w:r>
      <w:r>
        <w:t xml:space="preserve"> </w:t>
      </w:r>
      <w:r>
        <w:rPr>
          <w:rStyle w:val="VerbatimChar"/>
        </w:rPr>
        <w:t xml:space="preserve">916fb9f27f486486f0c071dcc6f15f81f68ecb18</w:t>
      </w:r>
      <w:r>
        <w:t xml:space="preserve">. Numerical expectations come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dplane-golden-v1</w:t>
      </w:r>
      <w:r>
        <w:t xml:space="preserve">, with independent behavior exercised by the tests in</w:t>
      </w:r>
      <w:r>
        <w:t xml:space="preserve"> </w:t>
      </w:r>
      <w:r>
        <w:t xml:space="preserve">the registry. External scientific literature has not completed review, so this</w:t>
      </w:r>
      <w:r>
        <w:t xml:space="preserve"> </w:t>
      </w:r>
      <w:r>
        <w:t xml:space="preserve">chapter makes no literature-backed ball-flight or equipment-performance claim.</w:t>
      </w:r>
    </w:p>
    <w:bookmarkEnd w:id="88"/>
    <w:bookmarkStart w:id="89" w:name="provenance"/>
    <w:p>
      <w:pPr>
        <w:pStyle w:val="Heading3"/>
      </w:pPr>
      <w:r>
        <w:t xml:space="preserve">Provenance</w:t>
      </w:r>
    </w:p>
    <w:p>
      <w:pPr>
        <w:pStyle w:val="FirstParagraph"/>
      </w:pPr>
      <w:r>
        <w:t xml:space="preserve">The calculation registry records method 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, symbols and commit,</w:t>
      </w:r>
      <w:r>
        <w:t xml:space="preserve"> </w:t>
      </w:r>
      <w:r>
        <w:t xml:space="preserve">source digest, inputs, units, contracts, equation anchors, tests, artifacts,</w:t>
      </w:r>
      <w:r>
        <w:t xml:space="preserve"> </w:t>
      </w:r>
      <w:r>
        <w:t xml:space="preserve">limitations, and approval blockers. D4 coverage separately records markerless</w:t>
      </w:r>
      <w:r>
        <w:t xml:space="preserve"> </w:t>
      </w:r>
      <w:r>
        <w:t xml:space="preserve">as blocked. Generated HTML, LaTeX, PDF, and DOCX derive from canonical QMD via</w:t>
      </w:r>
      <w:r>
        <w:t xml:space="preserve"> </w:t>
      </w:r>
      <w:r>
        <w:t xml:space="preserve">the pinned D2 toolchain and remain</w:t>
      </w:r>
      <w:r>
        <w:t xml:space="preserve"> </w:t>
      </w:r>
      <w:r>
        <w:rPr>
          <w:rStyle w:val="VerbatimChar"/>
        </w:rPr>
        <w:t xml:space="preserve">generated-unapproved</w:t>
      </w:r>
      <w:r>
        <w:t xml:space="preserve">.</w:t>
      </w:r>
    </w:p>
    <w:bookmarkEnd w:id="89"/>
    <w:bookmarkEnd w:id="90"/>
    <w:bookmarkStart w:id="92" w:name="revision-history"/>
    <w:p>
      <w:pPr>
        <w:pStyle w:val="Heading2"/>
      </w:pPr>
      <w:r>
        <w:t xml:space="preserve">Revision History</w:t>
      </w:r>
    </w:p>
    <w:bookmarkStart w:id="91" w:name="revision-record"/>
    <w:p>
      <w:pPr>
        <w:pStyle w:val="Heading3"/>
      </w:pPr>
      <w:r>
        <w:t xml:space="preserve">Revision Record</w:t>
      </w:r>
    </w:p>
    <w:p>
      <w:pPr>
        <w:pStyle w:val="FirstParagraph"/>
      </w:pPr>
      <w:r>
        <w:t xml:space="preserve">Version 1.0.0, dated 2026-08-26, registers the first Tools textbook exemplar:</w:t>
      </w:r>
      <w:r>
        <w:t xml:space="preserve"> </w:t>
      </w:r>
      <w:r>
        <w:t xml:space="preserve">frame-explicit D-plane geometry shared by swing simulation and Rate of Closure,</w:t>
      </w:r>
      <w:r>
        <w:t xml:space="preserve"> </w:t>
      </w:r>
      <w:r>
        <w:t xml:space="preserve">with executable golden values and fail-closed markerless dependency status.</w:t>
      </w:r>
      <w:r>
        <w:t xml:space="preserve"> </w:t>
      </w:r>
      <w:r>
        <w:t xml:space="preserve">Later revisions must update the descriptor, method version when mathematics or</w:t>
      </w:r>
      <w:r>
        <w:t xml:space="preserve"> </w:t>
      </w:r>
      <w:r>
        <w:t xml:space="preserve">behavior changes, tests, provenance, limitations, and every generated artifact.</w:t>
      </w:r>
    </w:p>
    <w:bookmarkEnd w:id="91"/>
    <w:bookmarkEnd w:id="92"/>
    <w:bookmarkEnd w:id="93"/>
    <w:bookmarkStart w:id="103" w:name="Xf38ac95301459e28f388688aee8c1cf941b78a4"/>
    <w:p>
      <w:pPr>
        <w:pStyle w:val="Heading1"/>
      </w:pPr>
      <w:r>
        <w:t xml:space="preserve">Opaque Native Restart and Saved-Input Replay</w:t>
      </w:r>
    </w:p>
    <w:bookmarkStart w:id="94" w:name="scope-and-authority"/>
    <w:p>
      <w:pPr>
        <w:pStyle w:val="Heading2"/>
      </w:pPr>
      <w:r>
        <w:t xml:space="preserve">Scope and Authority</w:t>
      </w:r>
    </w:p>
    <w:p>
      <w:pPr>
        <w:pStyle w:val="FirstParagraph"/>
      </w:pPr>
      <w:r>
        <w:t xml:space="preserve">Tools #5470 supplies typed transport for native state that cannot be represented</w:t>
      </w:r>
      <w:r>
        <w:t xml:space="preserve"> </w:t>
      </w:r>
      <w:r>
        <w:t xml:space="preserve">truthfully as a named numeric state vector. The wire format is</w:t>
      </w:r>
      <w:r>
        <w:t xml:space="preserve"> </w:t>
      </w:r>
      <w:r>
        <w:rPr>
          <w:rStyle w:val="VerbatimChar"/>
        </w:rPr>
        <w:t xml:space="preserve">native-state-replay/1.1.0</w:t>
      </w:r>
      <w:r>
        <w:t xml:space="preserve">. Its complete initial-state authority is a native</w:t>
      </w:r>
      <w:r>
        <w:t xml:space="preserve"> </w:t>
      </w:r>
      <w:r>
        <w:t xml:space="preserve">artifact descriptor and separately resolved immutable payload bytes. Numeric</w:t>
      </w:r>
      <w:r>
        <w:t xml:space="preserve"> </w:t>
      </w:r>
      <w:r>
        <w:t xml:space="preserve">observations are deliberately absent from this restart authority. The existing</w:t>
      </w:r>
      <w:r>
        <w:t xml:space="preserve"> </w:t>
      </w:r>
      <w:r>
        <w:rPr>
          <w:rStyle w:val="VerbatimChar"/>
        </w:rPr>
        <w:t xml:space="preserve">experiment-replay/1.0.0</w:t>
      </w:r>
      <w:r>
        <w:t xml:space="preserve"> </w:t>
      </w:r>
      <w:r>
        <w:t xml:space="preserve">numeric reader and semantics remain unchanged; that</w:t>
      </w:r>
      <w:r>
        <w:t xml:space="preserve"> </w:t>
      </w:r>
      <w:r>
        <w:t xml:space="preserve">reader rejects the native envelope instead of discarding hidden state.</w:t>
      </w:r>
    </w:p>
    <w:p>
      <w:pPr>
        <w:pStyle w:val="BodyText"/>
      </w:pPr>
      <w:r>
        <w:t xml:space="preserve">These are interchange contracts, not a physics solver or qualification system.</w:t>
      </w:r>
      <w:r>
        <w:t xml:space="preserve"> </w:t>
      </w:r>
      <w:r>
        <w:t xml:space="preserve">UpstreamDrift #11921 owns actual R2025b decoding, independent integration,</w:t>
      </w:r>
      <w:r>
        <w:t xml:space="preserve"> </w:t>
      </w:r>
      <w:r>
        <w:t xml:space="preserve">model coverage and acceptance. All required engine/model rows remain visible.</w:t>
      </w:r>
    </w:p>
    <w:bookmarkEnd w:id="94"/>
    <w:bookmarkStart w:id="95" w:name="state-model-and-runtime-identity"/>
    <w:p>
      <w:pPr>
        <w:pStyle w:val="Heading2"/>
      </w:pPr>
      <w:r>
        <w:t xml:space="preserve">State, Model and Runtime Identity</w:t>
      </w:r>
    </w:p>
    <w:p>
      <w:pPr>
        <w:pStyle w:val="FirstParagraph"/>
      </w:pPr>
      <w:r>
        <w:rPr>
          <w:rStyle w:val="VerbatimChar"/>
        </w:rPr>
        <w:t xml:space="preserve">NativeStateArtifact</w:t>
      </w:r>
      <w:r>
        <w:t xml:space="preserve"> </w:t>
      </w:r>
      <w:r>
        <w:t xml:space="preserve">binds format/version and expected decoded native class,</w:t>
      </w:r>
      <w:r>
        <w:t xml:space="preserve"> </w:t>
      </w:r>
      <w:r>
        <w:t xml:space="preserve">exact producing runtime/provider, source and loaded-model SHA-256 values,</w:t>
      </w:r>
      <w:r>
        <w:t xml:space="preserve"> </w:t>
      </w:r>
      <w:r>
        <w:t xml:space="preserve">native clock, solver and effective configuration/checksum policy, byte size,</w:t>
      </w:r>
      <w:r>
        <w:t xml:space="preserve"> </w:t>
      </w:r>
      <w:r>
        <w:t xml:space="preserve">payload digest and explicit complete-native-restart or observables-only role.</w:t>
      </w:r>
      <w:r>
        <w:t xml:space="preserve"> </w:t>
      </w:r>
      <w:r>
        <w:rPr>
          <w:rStyle w:val="VerbatimChar"/>
        </w:rPr>
        <w:t xml:space="preserve">NativeReplayModel</w:t>
      </w:r>
      <w:r>
        <w:t xml:space="preserve"> </w:t>
      </w:r>
      <w:r>
        <w:t xml:space="preserve">preserves inventory model/variant identity and ordered input</w:t>
      </w:r>
      <w:r>
        <w:t xml:space="preserve"> </w:t>
      </w:r>
      <w:r>
        <w:t xml:space="preserve">mapping separately. Native artifacts cannot substitute an observables-only</w:t>
      </w:r>
      <w:r>
        <w:t xml:space="preserve"> </w:t>
      </w:r>
      <w:r>
        <w:t xml:space="preserve">scope during replay admission.</w:t>
      </w:r>
    </w:p>
    <w:p>
      <w:pPr>
        <w:pStyle w:val="BodyText"/>
      </w:pPr>
      <w:r>
        <w:rPr>
          <w:rStyle w:val="VerbatimChar"/>
        </w:rPr>
        <w:t xml:space="preserve">freeze_native_state_artifact</w:t>
      </w:r>
      <w:r>
        <w:t xml:space="preserve"> </w:t>
      </w:r>
      <w:r>
        <w:t xml:space="preserve">verifies an owned immutable byte snapshot. It</w:t>
      </w:r>
      <w:r>
        <w:t xml:space="preserve"> </w:t>
      </w:r>
      <w:r>
        <w:t xml:space="preserve">rejects wrong size/hash and numeric/list coercion; it never deserializes or</w:t>
      </w:r>
      <w:r>
        <w:t xml:space="preserve"> </w:t>
      </w:r>
      <w:r>
        <w:t xml:space="preserve">executes the payload. A consumer must load these verified bytes and independently</w:t>
      </w:r>
      <w:r>
        <w:t xml:space="preserve"> </w:t>
      </w:r>
      <w:r>
        <w:t xml:space="preserve">verify actual decoded class, time, runtime and model compatibility. Hashing MAT</w:t>
      </w:r>
      <w:r>
        <w:t xml:space="preserve"> </w:t>
      </w:r>
      <w:r>
        <w:t xml:space="preserve">bytes identifies one serialization; it does not establish canonical semantic</w:t>
      </w:r>
      <w:r>
        <w:t xml:space="preserve"> </w:t>
      </w:r>
      <w:r>
        <w:t xml:space="preserve">state encoding, source-to-binary equivalence or transitive library closure.</w:t>
      </w:r>
    </w:p>
    <w:bookmarkEnd w:id="95"/>
    <w:bookmarkStart w:id="96" w:name="native-clock-and-input-boundary"/>
    <w:p>
      <w:pPr>
        <w:pStyle w:val="Heading2"/>
      </w:pPr>
      <w:r>
        <w:t xml:space="preserve">Native Clock and Input Boundary</w:t>
      </w:r>
    </w:p>
    <w:p>
      <w:pPr>
        <w:pStyle w:val="FirstParagraph"/>
      </w:pPr>
      <w:r>
        <w:t xml:space="preserve">The saved native</w:t>
      </w:r>
      <w:r>
        <w:t xml:space="preserve"> </w:t>
      </w:r>
      <w:r>
        <w:rPr>
          <w:rStyle w:val="VerbatimChar"/>
        </w:rPr>
        <w:t xml:space="preserve">snapshot_time_seconds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start_time_seconds</w:t>
      </w:r>
      <w:r>
        <w:t xml:space="preserve"> </w:t>
      </w:r>
      <w:r>
        <w:t xml:space="preserve">are finite and</w:t>
      </w:r>
      <w:r>
        <w:t xml:space="preserve"> </w:t>
      </w:r>
      <w:r>
        <w:t xml:space="preserve">ordered, with an explicit native clock identity. Saved input histories reuse</w:t>
      </w:r>
      <w:r>
        <w:t xml:space="preserve"> </w:t>
      </w:r>
      <w:r>
        <w:t xml:space="preserve">the existing interval-relative time and interpolation contracts. Native replay</w:t>
      </w:r>
      <w:r>
        <w:t xml:space="preserve"> </w:t>
      </w:r>
      <w:r>
        <w:t xml:space="preserve">time is the saved snapshot plus each relative input time; the operating point</w:t>
      </w:r>
      <w:r>
        <w:t xml:space="preserve"> </w:t>
      </w:r>
      <w:r>
        <w:t xml:space="preserve">is never retimed to zero. Overflow or loss of strict ordering at native floating</w:t>
      </w:r>
      <w:r>
        <w:t xml:space="preserve"> </w:t>
      </w:r>
      <w:r>
        <w:t xml:space="preserve">point precision is rejected. Requested intervals and an explicitly supplied</w:t>
      </w:r>
      <w:r>
        <w:t xml:space="preserve"> </w:t>
      </w:r>
      <w:r>
        <w:t xml:space="preserve">solver step must also survive translation to the native epoch within the larger</w:t>
      </w:r>
      <w:r>
        <w:t xml:space="preserve"> </w:t>
      </w:r>
      <w:r>
        <w:t xml:space="preserve">of 1e-9 relative interval error or 64 ULPs of that interval. Epoch ULPs never</w:t>
      </w:r>
      <w:r>
        <w:t xml:space="preserve"> </w:t>
      </w:r>
      <w:r>
        <w:t xml:space="preserve">relax this policy. Consumers must check effective native solver precision too. Physical input units, muscle excitation versus</w:t>
      </w:r>
      <w:r>
        <w:t xml:space="preserve"> </w:t>
      </w:r>
      <w:r>
        <w:t xml:space="preserve">activation, force versus command, and explicit contact identity remain governed</w:t>
      </w:r>
      <w:r>
        <w:t xml:space="preserve"> </w:t>
      </w:r>
      <w:r>
        <w:t xml:space="preserve">by the shared</w:t>
      </w:r>
      <w:r>
        <w:t xml:space="preserve"> </w:t>
      </w:r>
      <w:r>
        <w:rPr>
          <w:rStyle w:val="VerbatimChar"/>
        </w:rPr>
        <w:t xml:space="preserve">InputHistory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ReplayExecutionPolicy</w:t>
      </w:r>
      <w:r>
        <w:t xml:space="preserve"> </w:t>
      </w:r>
      <w:r>
        <w:t xml:space="preserve">contracts.</w:t>
      </w:r>
    </w:p>
    <w:bookmarkEnd w:id="96"/>
    <w:bookmarkStart w:id="97" w:name="integrity-and-failure-semantics"/>
    <w:p>
      <w:pPr>
        <w:pStyle w:val="Heading2"/>
      </w:pPr>
      <w:r>
        <w:t xml:space="preserve">Integrity and Failure Semantics</w:t>
      </w:r>
    </w:p>
    <w:p>
      <w:pPr>
        <w:pStyle w:val="FirstParagraph"/>
      </w:pPr>
      <w:r>
        <w:rPr>
          <w:rStyle w:val="VerbatimChar"/>
        </w:rPr>
        <w:t xml:space="preserve">NativeReplayIntegrity</w:t>
      </w:r>
      <w:r>
        <w:t xml:space="preserve"> </w:t>
      </w:r>
      <w:r>
        <w:t xml:space="preserve">retains shared component hashes and adds an entire</w:t>
      </w:r>
      <w:r>
        <w:t xml:space="preserve"> </w:t>
      </w:r>
      <w:r>
        <w:t xml:space="preserve">envelope digest, including experiment identity. Strict JSON rejects duplicate</w:t>
      </w:r>
      <w:r>
        <w:t xml:space="preserve"> </w:t>
      </w:r>
      <w:r>
        <w:t xml:space="preserve">or unknown fields, unsupported versions and stale integrity. Capability</w:t>
      </w:r>
      <w:r>
        <w:t xml:space="preserve"> </w:t>
      </w:r>
      <w:r>
        <w:t xml:space="preserve">availability remains distinct from declared support; required unavailable or</w:t>
      </w:r>
      <w:r>
        <w:t xml:space="preserve"> </w:t>
      </w:r>
      <w:r>
        <w:t xml:space="preserve">unsupported capabilities remain blockers. Metadata equality does not prove a</w:t>
      </w:r>
      <w:r>
        <w:t xml:space="preserve"> </w:t>
      </w:r>
      <w:r>
        <w:t xml:space="preserve">native engine followed the declared policy.</w:t>
      </w:r>
    </w:p>
    <w:bookmarkEnd w:id="97"/>
    <w:bookmarkStart w:id="98" w:name="native-consumer-requirements"/>
    <w:p>
      <w:pPr>
        <w:pStyle w:val="Heading2"/>
      </w:pPr>
      <w:r>
        <w:t xml:space="preserve">Native Consumer Requirements</w:t>
      </w:r>
    </w:p>
    <w:p>
      <w:pPr>
        <w:pStyle w:val="FirstParagraph"/>
      </w:pPr>
      <w:r>
        <w:t xml:space="preserve">For R2025b, preserve hidden Simscape/block state, solver/execution state and</w:t>
      </w:r>
      <w:r>
        <w:t xml:space="preserve"> </w:t>
      </w:r>
      <w:r>
        <w:t xml:space="preserve">operating-point compatibility. Disable block reduction before capture and bind</w:t>
      </w:r>
      <w:r>
        <w:t xml:space="preserve"> </w:t>
      </w:r>
      <w:r>
        <w:t xml:space="preserve">effective solver settings rather than unresolved UI values such as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</w:t>
      </w:r>
      <w:r>
        <w:t xml:space="preserve"> </w:t>
      </w:r>
      <w:r>
        <w:t xml:space="preserve">Verify a nonzero-time saved/reloaded restart against uninterrupted native</w:t>
      </w:r>
      <w:r>
        <w:t xml:space="preserve"> </w:t>
      </w:r>
      <w:r>
        <w:t xml:space="preserve">integration, including discrete/hidden state. Preserve wrong model/runtime/time,</w:t>
      </w:r>
      <w:r>
        <w:t xml:space="preserve"> </w:t>
      </w:r>
      <w:r>
        <w:t xml:space="preserve">tampered or missing blob, stale artifact and observable-downgrade negatives.</w:t>
      </w:r>
      <w:r>
        <w:t xml:space="preserve"> </w:t>
      </w:r>
      <w:r>
        <w:t xml:space="preserve">No state reset is permitted during the requested saved-input replay horizon.</w:t>
      </w:r>
    </w:p>
    <w:bookmarkEnd w:id="98"/>
    <w:bookmarkStart w:id="99" w:name="evidence-and-remaining-work"/>
    <w:p>
      <w:pPr>
        <w:pStyle w:val="Heading2"/>
      </w:pPr>
      <w:r>
        <w:t xml:space="preserve">Evidence and Remaining Work</w:t>
      </w:r>
    </w:p>
    <w:p>
      <w:pPr>
        <w:pStyle w:val="FirstParagraph"/>
      </w:pPr>
      <w:r>
        <w:t xml:space="preserve">Initial missing-module, coercion, public-facade, duplicate-key and experiment</w:t>
      </w:r>
      <w:r>
        <w:t xml:space="preserve"> </w:t>
      </w:r>
      <w:r>
        <w:t xml:space="preserve">identity failures were observed before fixes. The current focused suite passes</w:t>
      </w:r>
      <w:r>
        <w:t xml:space="preserve"> </w:t>
      </w:r>
      <w:r>
        <w:t xml:space="preserve">77 tests, including 23 unchanged numeric T01 tests and 11 native JSON Schema tests. Astra review supplied</w:t>
      </w:r>
      <w:r>
        <w:t xml:space="preserve"> </w:t>
      </w:r>
      <w:r>
        <w:t xml:space="preserve">reproduced string-channel coercion and large-epoch interval-retiming negatives;</w:t>
      </w:r>
      <w:r>
        <w:t xml:space="preserve"> </w:t>
      </w:r>
      <w:r>
        <w:t xml:space="preserve">both failed before correction. Configured source typing passes. The schema reuses stable numeric-contract</w:t>
      </w:r>
      <w:r>
        <w:t xml:space="preserve"> </w:t>
      </w:r>
      <w:r>
        <w:t xml:space="preserve">definitions by local reference. The manual renderer uses the pinned toolchain;</w:t>
      </w:r>
      <w:r>
        <w:t xml:space="preserve"> </w:t>
      </w:r>
      <w:r>
        <w:t xml:space="preserve">QA inspects every actual page and rejects missing, duplicate or reordered page</w:t>
      </w:r>
      <w:r>
        <w:t xml:space="preserve"> </w:t>
      </w:r>
      <w:r>
        <w:t xml:space="preserve">records as the manual grows. Inventory/governance/normal hooks and actual</w:t>
      </w:r>
      <w:r>
        <w:t xml:space="preserve"> </w:t>
      </w:r>
      <w:r>
        <w:t xml:space="preserve">R2025b integration remain pending at this development checkpoint. This chapter</w:t>
      </w:r>
      <w:r>
        <w:t xml:space="preserve"> </w:t>
      </w:r>
      <w:r>
        <w:t xml:space="preserve">does not approve a scientific calculation or manual release.</w:t>
      </w:r>
    </w:p>
    <w:bookmarkEnd w:id="99"/>
    <w:bookmarkStart w:id="102" w:name="primary-references"/>
    <w:p>
      <w:pPr>
        <w:pStyle w:val="Heading2"/>
      </w:pPr>
      <w:r>
        <w:t xml:space="preserve">Primary References</w:t>
      </w:r>
    </w:p>
    <w:p>
      <w:pPr>
        <w:pStyle w:val="FirstParagraph"/>
      </w:pPr>
      <w:hyperlink r:id="rId100">
        <w:r>
          <w:rPr>
            <w:rStyle w:val="Hyperlink"/>
          </w:rPr>
          <w:t xml:space="preserve">MathWorks R2025b ModelOperatingPoint</w:t>
        </w:r>
      </w:hyperlink>
      <w:r>
        <w:t xml:space="preserve"> </w:t>
      </w:r>
      <w:r>
        <w:t xml:space="preserve">defines native restart state and the read-only snapshot clock; its numeric</w:t>
      </w:r>
      <w:r>
        <w:t xml:space="preserve"> </w:t>
      </w:r>
      <w:r>
        <w:t xml:space="preserve">logged-state view excludes internal Simscape state.</w:t>
      </w:r>
      <w:r>
        <w:t xml:space="preserve"> </w:t>
      </w:r>
      <w:hyperlink r:id="rId101">
        <w:r>
          <w:rPr>
            <w:rStyle w:val="Hyperlink"/>
          </w:rPr>
          <w:t xml:space="preserve">MathWorks R2025b Operating-Point Workflow</w:t>
        </w:r>
      </w:hyperlink>
      <w:r>
        <w:t xml:space="preserve"> </w:t>
      </w:r>
      <w:r>
        <w:t xml:space="preserve">documents compatibility and effective configuration constraints. These native</w:t>
      </w:r>
      <w:r>
        <w:t xml:space="preserve"> </w:t>
      </w:r>
      <w:r>
        <w:t xml:space="preserve">claims require separate actual execution evidence from UpstreamDrift.</w:t>
      </w:r>
    </w:p>
    <w:p>
      <w:r>
        <w:br w:type="page"/>
      </w:r>
    </w:p>
    <w:bookmarkEnd w:id="102"/>
    <w:bookmarkEnd w:id="103"/>
    <w:bookmarkStart w:id="155" w:name="triangle-multiset-lamina-mass-moments"/>
    <w:p>
      <w:pPr>
        <w:pStyle w:val="Heading1"/>
      </w:pPr>
      <w:r>
        <w:t xml:space="preserve">Triangle-Multiset Lamina Mass Moments</w:t>
      </w:r>
    </w:p>
    <w:bookmarkStart w:id="104" w:name="purpose-and-scope-1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note describes the numerical kernel introduced for Tools #5503. Given</w:t>
      </w:r>
      <w:r>
        <w:t xml:space="preserve"> </w:t>
      </w:r>
      <w:r>
        <w:t xml:space="preserve">triangles already expressed in one orthonormal metre frame and one positive</w:t>
      </w:r>
      <w:r>
        <w:t xml:space="preserve"> </w:t>
      </w:r>
      <w:r>
        <w:t xml:space="preserve">total mass, it computes the center of mass and inertia tensor of a zero-thickness</w:t>
      </w:r>
      <w:r>
        <w:t xml:space="preserve"> </w:t>
      </w:r>
      <w:r>
        <w:t xml:space="preserve">lamina whose surface-mass density is proportional to unsigned triangle area.</w:t>
      </w:r>
      <w:r>
        <w:t xml:space="preserve"> </w:t>
      </w:r>
      <w:r>
        <w:t xml:space="preserve">The source is a triangle</w:t>
      </w:r>
      <w:r>
        <w:t xml:space="preserve"> </w:t>
      </w:r>
      <w:r>
        <w:rPr>
          <w:b/>
          <w:bCs/>
        </w:rPr>
        <w:t xml:space="preserve">multiset</w:t>
      </w:r>
      <w:r>
        <w:t xml:space="preserve">: repeated faces count repeatedly. The</w:t>
      </w:r>
      <w:r>
        <w:t xml:space="preserve"> </w:t>
      </w:r>
      <w:r>
        <w:t xml:space="preserve">kernel is included in the manual for transparent review but is not yet a</w:t>
      </w:r>
      <w:r>
        <w:t xml:space="preserve"> </w:t>
      </w:r>
      <w:r>
        <w:t xml:space="preserve">registered or approved calculation. It does not load or admit a geometry asset,</w:t>
      </w:r>
      <w:r>
        <w:t xml:space="preserve"> </w:t>
      </w:r>
      <w:r>
        <w:t xml:space="preserve">establish frame authority, infer tissue ownership, model volume or thickness,</w:t>
      </w:r>
      <w:r>
        <w:t xml:space="preserve"> </w:t>
      </w:r>
      <w:r>
        <w:t xml:space="preserve">or qualify a native humanoid/body model.</w:t>
      </w:r>
    </w:p>
    <w:bookmarkEnd w:id="104"/>
    <w:bookmarkStart w:id="108" w:name="design-by-contract-1"/>
    <w:p>
      <w:pPr>
        <w:pStyle w:val="Heading2"/>
      </w:pPr>
      <w:r>
        <w:t xml:space="preserve">Design by Contract</w:t>
      </w:r>
    </w:p>
    <w:bookmarkStart w:id="105" w:name="preconditions-1"/>
    <w:p>
      <w:pPr>
        <w:pStyle w:val="Heading3"/>
      </w:pPr>
      <w:r>
        <w:t xml:space="preserve">Preconditions</w:t>
      </w:r>
    </w:p>
    <w:p>
      <w:pPr>
        <w:pStyle w:val="FirstParagraph"/>
      </w:pPr>
      <w:r>
        <w:rPr>
          <w:rStyle w:val="VerbatimChar"/>
        </w:rPr>
        <w:t xml:space="preserve">vertices</w:t>
      </w:r>
      <w:r>
        <w:t xml:space="preserve"> </w:t>
      </w:r>
      <w:r>
        <w:t xml:space="preserve">must convert to a finite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array of shape</w:t>
      </w:r>
      <w:r>
        <w:t xml:space="preserve"> </w:t>
      </w:r>
      <w:r>
        <w:rPr>
          <w:rStyle w:val="VerbatimChar"/>
        </w:rPr>
        <w:t xml:space="preserve">(N, 3)</w:t>
      </w:r>
      <w:r>
        <w:t xml:space="preserve">.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is an integer array of shape</w:t>
      </w:r>
      <w:r>
        <w:t xml:space="preserve"> </w:t>
      </w:r>
      <w:r>
        <w:rPr>
          <w:rStyle w:val="VerbatimChar"/>
        </w:rPr>
        <w:t xml:space="preserve">(T, 3)</w:t>
      </w:r>
      <w:r>
        <w:t xml:space="preserve"> </w:t>
      </w:r>
      <w:r>
        <w:t xml:space="preserve">whose indices lie in</w:t>
      </w:r>
      <w:r>
        <w:t xml:space="preserve"> </w:t>
      </w:r>
      <w:r>
        <w:rPr>
          <w:rStyle w:val="VerbatimChar"/>
        </w:rPr>
        <w:t xml:space="preserve">[0, N)</w:t>
      </w:r>
      <w:r>
        <w:t xml:space="preserve">.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is a positive, finite, non-boolean scalar in kilograms. All vertex</w:t>
      </w:r>
      <w:r>
        <w:t xml:space="preserve"> </w:t>
      </w:r>
      <w:r>
        <w:t xml:space="preserve">coordinates are metres in one caller-declared orthonormal coordinate frame.</w:t>
      </w:r>
      <w:r>
        <w:t xml:space="preserve"> </w:t>
      </w:r>
      <w:r>
        <w:t xml:space="preserve">At least one input triangle must have positive representable area; each</w:t>
      </w:r>
      <w:r>
        <w:t xml:space="preserve"> </w:t>
      </w:r>
      <w:r>
        <w:t xml:space="preserve">nonzero area and its normalized fraction must be representable as a positive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 and total area must remain finite.</w:t>
      </w:r>
    </w:p>
    <w:bookmarkEnd w:id="105"/>
    <w:bookmarkStart w:id="106" w:name="postconditions-1"/>
    <w:p>
      <w:pPr>
        <w:pStyle w:val="Heading3"/>
      </w:pPr>
      <w:r>
        <w:t xml:space="preserve">Postconditions</w:t>
      </w:r>
    </w:p>
    <w:p>
      <w:pPr>
        <w:pStyle w:val="FirstParagraph"/>
      </w:pPr>
      <w:r>
        <w:t xml:space="preserve">The result reports the area-weighted center in metres and the center-of-mass</w:t>
      </w:r>
      <w:r>
        <w:t xml:space="preserve"> </w:t>
      </w:r>
      <w:r>
        <w:t xml:space="preserve">inertia tensor in kg m² for the declared lamina. It also reports total</w:t>
      </w:r>
      <w:r>
        <w:t xml:space="preserve"> </w:t>
      </w:r>
      <w:r>
        <w:t xml:space="preserve">unsigned area, zero-area face count, exact coincident positive-area face count,</w:t>
      </w:r>
      <w:r>
        <w:t xml:space="preserve"> </w:t>
      </w:r>
      <w:r>
        <w:t xml:space="preserve">and indexed boundary/nonmanifold edge counts. The duplicate diagnostic counts</w:t>
      </w:r>
      <w:r>
        <w:t xml:space="preserve"> </w:t>
      </w:r>
      <w:r>
        <w:t xml:space="preserve">each repeated coordinate face beyond its first occurrence. The compatible</w:t>
      </w:r>
      <w:r>
        <w:t xml:space="preserve"> </w:t>
      </w:r>
      <w:r>
        <w:rPr>
          <w:rStyle w:val="VerbatimChar"/>
        </w:rPr>
        <w:t xml:space="preserve">InertiaResult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volume=0</w:t>
      </w:r>
      <w:r>
        <w:t xml:space="preserve">,</w:t>
      </w:r>
      <w:r>
        <w:t xml:space="preserve"> </w:t>
      </w:r>
      <w:r>
        <w:rPr>
          <w:rStyle w:val="VerbatimChar"/>
        </w:rPr>
        <w:t xml:space="preserve">was_watertight=False</w:t>
      </w:r>
      <w:r>
        <w:t xml:space="preserve">, and the distinct</w:t>
      </w:r>
      <w:r>
        <w:t xml:space="preserve"> </w:t>
      </w:r>
      <w:r>
        <w:rPr>
          <w:rStyle w:val="VerbatimChar"/>
        </w:rPr>
        <w:t xml:space="preserve">triangle_multiset_lamina_mass</w:t>
      </w:r>
      <w:r>
        <w:t xml:space="preserve"> </w:t>
      </w:r>
      <w:r>
        <w:t xml:space="preserve">mode so it cannot imply a closed solid.</w:t>
      </w:r>
    </w:p>
    <w:bookmarkEnd w:id="106"/>
    <w:bookmarkStart w:id="107" w:name="invariants-1"/>
    <w:p>
      <w:pPr>
        <w:pStyle w:val="Heading3"/>
      </w:pPr>
      <w:r>
        <w:t xml:space="preserve">Invariants</w:t>
      </w:r>
    </w:p>
    <w:p>
      <w:pPr>
        <w:pStyle w:val="FirstParagraph"/>
      </w:pPr>
      <w:r>
        <w:t xml:space="preserve">Reordering faces, translating the complete geometry, or applying a proper</w:t>
      </w:r>
      <w:r>
        <w:t xml:space="preserve"> </w:t>
      </w:r>
      <w:r>
        <w:t xml:space="preserve">rigid rotation preserves mass and scalar invariants; translation changes the</w:t>
      </w:r>
      <w:r>
        <w:t xml:space="preserve"> </w:t>
      </w:r>
      <w:r>
        <w:t xml:space="preserve">center by the same translation and does not change central inertia. Scaling</w:t>
      </w:r>
      <w:r>
        <w:t xml:space="preserve"> </w:t>
      </w:r>
      <w:r>
        <w:t xml:space="preserve">coordinates by a positive factor scales area by its square, preserves the</w:t>
      </w:r>
      <w:r>
        <w:t xml:space="preserve"> </w:t>
      </w:r>
      <w:r>
        <w:t xml:space="preserve">area fractions, and scales inertia by the square when total mass is held fixed.</w:t>
      </w:r>
      <w:r>
        <w:t xml:space="preserve"> </w:t>
      </w:r>
      <w:r>
        <w:t xml:space="preserve">Subdivision that preserves the geometric surface and area measure preserves</w:t>
      </w:r>
      <w:r>
        <w:t xml:space="preserve"> </w:t>
      </w:r>
      <w:r>
        <w:t xml:space="preserve">the moments within numerical tolerance. A repeated positive-area face retains</w:t>
      </w:r>
      <w:r>
        <w:t xml:space="preserve"> </w:t>
      </w:r>
      <w:r>
        <w:t xml:space="preserve">its multiplicity in both mass allocation and the diagnostic count.</w:t>
      </w:r>
    </w:p>
    <w:bookmarkEnd w:id="107"/>
    <w:bookmarkEnd w:id="108"/>
    <w:bookmarkStart w:id="112" w:name="coordinates-frames-and-time-1"/>
    <w:p>
      <w:pPr>
        <w:pStyle w:val="Heading2"/>
      </w:pPr>
      <w:r>
        <w:t xml:space="preserve">Coordinates, Frames, and Time</w:t>
      </w:r>
    </w:p>
    <w:bookmarkStart w:id="109" w:name="coordinate-frames-1"/>
    <w:p>
      <w:pPr>
        <w:pStyle w:val="Heading3"/>
      </w:pPr>
      <w:r>
        <w:t xml:space="preserve">Coordinate Frames</w:t>
      </w:r>
    </w:p>
    <w:p>
      <w:pPr>
        <w:pStyle w:val="FirstParagraph"/>
      </w:pPr>
      <w:r>
        <w:t xml:space="preserve">The function accepts coordinates in the caller’s existing frame and performs</w:t>
      </w:r>
      <w:r>
        <w:t xml:space="preserve"> </w:t>
      </w:r>
      <w:r>
        <w:t xml:space="preserve">no frame transform. All vertices must use the same origin, axes, handedness,</w:t>
      </w:r>
      <w:r>
        <w:t xml:space="preserve"> </w:t>
      </w:r>
      <w:r>
        <w:t xml:space="preserve">and scale. No source-frame identifier is present in this numerical API; a</w:t>
      </w:r>
      <w:r>
        <w:t xml:space="preserve"> </w:t>
      </w:r>
      <w:r>
        <w:t xml:space="preserve">consumer that needs provenance or a native body frame must bind that separately</w:t>
      </w:r>
      <w:r>
        <w:t xml:space="preserve"> </w:t>
      </w:r>
      <w:r>
        <w:t xml:space="preserve">before calling it.</w:t>
      </w:r>
    </w:p>
    <w:bookmarkEnd w:id="109"/>
    <w:bookmarkStart w:id="110" w:name="axis-and-handedness-1"/>
    <w:p>
      <w:pPr>
        <w:pStyle w:val="Heading3"/>
      </w:pPr>
      <w:r>
        <w:t xml:space="preserve">Axis and Handedness</w:t>
      </w:r>
    </w:p>
    <w:p>
      <w:pPr>
        <w:pStyle w:val="FirstParagraph"/>
      </w:pPr>
      <w:r>
        <w:t xml:space="preserve">The covariance and inertia formulas use Euclidean three-dimensional vectors.</w:t>
      </w:r>
      <w:r>
        <w:t xml:space="preserve"> </w:t>
      </w:r>
      <w:r>
        <w:t xml:space="preserve">They are invariant to proper orthogonal basis rotation when both inputs and</w:t>
      </w:r>
      <w:r>
        <w:t xml:space="preserve"> </w:t>
      </w:r>
      <w:r>
        <w:t xml:space="preserve">outputs are transformed consistently. Triangle winding does not select a</w:t>
      </w:r>
      <w:r>
        <w:t xml:space="preserve"> </w:t>
      </w:r>
      <w:r>
        <w:t xml:space="preserve">normal or sign: area is unsigned and the represented surface has no orientation</w:t>
      </w:r>
      <w:r>
        <w:t xml:space="preserve"> </w:t>
      </w:r>
      <w:r>
        <w:t xml:space="preserve">semantics.</w:t>
      </w:r>
    </w:p>
    <w:bookmarkEnd w:id="110"/>
    <w:bookmarkStart w:id="111" w:name="time-convention-1"/>
    <w:p>
      <w:pPr>
        <w:pStyle w:val="Heading3"/>
      </w:pPr>
      <w:r>
        <w:t xml:space="preserve">Time Convention</w:t>
      </w:r>
    </w:p>
    <w:p>
      <w:pPr>
        <w:pStyle w:val="FirstParagraph"/>
      </w:pPr>
      <w:r>
        <w:t xml:space="preserve">This is a static geometry calculation and has no time, interpolation, or</w:t>
      </w:r>
      <w:r>
        <w:t xml:space="preserve"> </w:t>
      </w:r>
      <w:r>
        <w:t xml:space="preserve">integration policy. It cannot be used to infer a time-varying body shape.</w:t>
      </w:r>
    </w:p>
    <w:bookmarkEnd w:id="111"/>
    <w:bookmarkEnd w:id="112"/>
    <w:bookmarkStart w:id="115" w:name="units-and-dimensions-1"/>
    <w:p>
      <w:pPr>
        <w:pStyle w:val="Heading2"/>
      </w:pPr>
      <w:r>
        <w:t xml:space="preserve">Units and Dimensions</w:t>
      </w:r>
    </w:p>
    <w:bookmarkStart w:id="113" w:name="symbol-and-unit-table-1"/>
    <w:p>
      <w:pPr>
        <w:pStyle w:val="Heading3"/>
      </w:pPr>
      <w:r>
        <w:t xml:space="preserve">Symbol and Unit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 or 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x</m:t>
              </m:r>
            </m:oMath>
            <w:r>
              <w:t xml:space="preserve">, triangle vertices</w:t>
            </w:r>
          </w:p>
        </w:tc>
        <w:tc>
          <w:tcPr/>
          <w:p>
            <w:pPr>
              <w:pStyle w:val="Compact"/>
            </w:pPr>
            <w:r>
              <w:t xml:space="preserve">Position in the common input frame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Triangle area and total multiset area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Triangle area fraction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Caller-specified total lamina mass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Area-weighted center of mass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Mass-normalized central covariance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Central inertia tensor</w:t>
            </w:r>
          </w:p>
        </w:tc>
        <w:tc>
          <w:tcPr/>
          <w:p>
            <w:pPr>
              <w:pStyle w:val="Compact"/>
            </w:pPr>
            <w:r>
              <w:t xml:space="preserve">kg m²</w:t>
            </w:r>
          </w:p>
        </w:tc>
      </w:tr>
    </w:tbl>
    <w:bookmarkEnd w:id="113"/>
    <w:bookmarkStart w:id="114" w:name="dimensional-checks-1"/>
    <w:p>
      <w:pPr>
        <w:pStyle w:val="Heading3"/>
      </w:pPr>
      <w:r>
        <w:t xml:space="preserve">Dimensional Checks</w:t>
      </w:r>
    </w:p>
    <w:p>
      <w:pPr>
        <w:pStyle w:val="FirstParagraph"/>
      </w:pPr>
      <w:r>
        <w:t xml:space="preserve">Area fractions are dimensionless. Nonzero areas and normalized face fractions</w:t>
      </w:r>
      <w:r>
        <w:t xml:space="preserve"> </w:t>
      </w:r>
      <w:r>
        <w:t xml:space="preserve">that underflow to zero in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are rejected, not assigned zero mass or</w:t>
      </w:r>
      <w:r>
        <w:t xml:space="preserve"> </w:t>
      </w:r>
      <w:r>
        <w:t xml:space="preserve">reported as degenerate. No geometric area epsilon is used. The covariance has</w:t>
      </w:r>
      <w:r>
        <w:t xml:space="preserve"> </w:t>
      </w:r>
      <w:r>
        <w:t xml:space="preserve">units m² because it is an</w:t>
      </w:r>
      <w:r>
        <w:t xml:space="preserve"> </w:t>
      </w:r>
      <w:r>
        <w:t xml:space="preserve">area-weighted second central moment divided by total area. Multiplication by</w:t>
      </w:r>
      <w:r>
        <w:t xml:space="preserve"> </w:t>
      </w:r>
      <w:r>
        <w:t xml:space="preserve">mass yields kg m². The zero-thickness convention sets reported volume to 0 m³;</w:t>
      </w:r>
      <w:r>
        <w:t xml:space="preserve"> </w:t>
      </w:r>
      <w:r>
        <w:t xml:space="preserve">it is not an estimated enclosed volume.</w:t>
      </w:r>
    </w:p>
    <w:bookmarkEnd w:id="114"/>
    <w:bookmarkEnd w:id="115"/>
    <w:bookmarkStart w:id="120" w:name="derivation-and-assumptions-1"/>
    <w:p>
      <w:pPr>
        <w:pStyle w:val="Heading2"/>
      </w:pPr>
      <w:r>
        <w:t xml:space="preserve">Derivation and Assumptions</w:t>
      </w:r>
    </w:p>
    <w:bookmarkStart w:id="116" w:name="assumptions-1"/>
    <w:p>
      <w:pPr>
        <w:pStyle w:val="Heading3"/>
      </w:pPr>
      <w:r>
        <w:t xml:space="preserve">Assumptions</w:t>
      </w:r>
    </w:p>
    <w:p>
      <w:pPr>
        <w:pStyle w:val="FirstParagraph"/>
      </w:pPr>
      <w:r>
        <w:t xml:space="preserve">Each triangle carries uniform surface density, with one shared areal density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over the entire input multiset. Mass is apportioned by unsigned</w:t>
      </w:r>
      <w:r>
        <w:t xml:space="preserve"> </w:t>
      </w:r>
      <w:r>
        <w:t xml:space="preserve">area. Triangles may be disconnected, overlap, coincide, or have inconsistent</w:t>
      </w:r>
      <w:r>
        <w:t xml:space="preserve"> </w:t>
      </w:r>
      <w:r>
        <w:t xml:space="preserve">winding; overlap is not removed. Degenerate zero-area triangles contribute no</w:t>
      </w:r>
      <w:r>
        <w:t xml:space="preserve"> </w:t>
      </w:r>
      <w:r>
        <w:t xml:space="preserve">mass and are reported separately. The derivation assumes ordinary Euclidean</w:t>
      </w:r>
      <w:r>
        <w:t xml:space="preserve"> </w:t>
      </w:r>
      <w:r>
        <w:t xml:space="preserve">coordinates and no thickness or volumetric contribution.</w:t>
      </w:r>
    </w:p>
    <w:bookmarkEnd w:id="116"/>
    <w:bookmarkStart w:id="119" w:name="derivation-1"/>
    <w:p>
      <w:pPr>
        <w:pStyle w:val="Heading3"/>
      </w:pPr>
      <w:r>
        <w:t xml:space="preserve">Derivation</w:t>
      </w:r>
    </w:p>
    <w:p>
      <w:pPr>
        <w:pStyle w:val="FirstParagraph"/>
      </w:pPr>
      <w:r>
        <w:t xml:space="preserve">For triangle vertices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3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triangle centroid is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, and the lamina center is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</m:oMath>
      <w:r>
        <w:t xml:space="preserve">. Uniform barycentric coordinates on one</w:t>
      </w:r>
      <w:r>
        <w:t xml:space="preserve"> </w:t>
      </w:r>
      <w:r>
        <w:t xml:space="preserve">triangle have covariance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Applying the law of total covariance over triangle identity and within-triangle</w:t>
      </w:r>
      <w:r>
        <w:t xml:space="preserve"> </w:t>
      </w:r>
      <w:r>
        <w:t xml:space="preserve">position gives</w:t>
      </w:r>
    </w:p>
    <w:p>
      <w:pPr>
        <w:pStyle w:val="BodyText"/>
      </w:pPr>
      <w:bookmarkStart w:id="117" w:name="triangle-lamina-covariance"/>
      <w:bookmarkEnd w:id="117"/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mass distribution with central covariance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,</w:t>
      </w:r>
    </w:p>
    <w:p>
      <w:pPr>
        <w:pStyle w:val="BodyText"/>
      </w:pPr>
      <w:bookmarkStart w:id="118" w:name="triangle-lamina-inertia"/>
      <w:bookmarkEnd w:id="118"/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r>
            <m:rPr>
              <m:sty m:val="p"/>
            </m:rPr>
            <m:t>=</m:t>
          </m:r>
          <m:r>
            <m:t>m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formula returns the standard inertia tensor, including signed</w:t>
      </w:r>
      <w:r>
        <w:t xml:space="preserve"> </w:t>
      </w:r>
      <w:r>
        <w:t xml:space="preserve">off-diagonal tensor components.</w:t>
      </w:r>
      <w:r>
        <w:t xml:space="preserve"> </w:t>
      </w:r>
      <w:r>
        <w:rPr>
          <w:rStyle w:val="VerbatimChar"/>
        </w:rPr>
        <w:t xml:space="preserve">InertiaResult.as_urdf_dict()</w:t>
      </w:r>
      <w:r>
        <w:t xml:space="preserve"> </w:t>
      </w:r>
      <w:r>
        <w:t xml:space="preserve">exports those</w:t>
      </w:r>
      <w:r>
        <w:t xml:space="preserve"> </w:t>
      </w:r>
      <w:r>
        <w:t xml:space="preserve">same symmetric tensor entries as URDF</w:t>
      </w:r>
      <w:r>
        <w:t xml:space="preserve"> </w:t>
      </w:r>
      <w:r>
        <w:rPr>
          <w:rStyle w:val="VerbatimChar"/>
        </w:rPr>
        <w:t xml:space="preserve">ixy</w:t>
      </w:r>
      <w:r>
        <w:t xml:space="preserve">,</w:t>
      </w:r>
      <w:r>
        <w:t xml:space="preserve"> </w:t>
      </w:r>
      <w:r>
        <w:rPr>
          <w:rStyle w:val="VerbatimChar"/>
        </w:rPr>
        <w:t xml:space="preserve">ixz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iyz</w:t>
      </w:r>
      <w:r>
        <w:t xml:space="preserve"> </w:t>
      </w:r>
      <w:r>
        <w:t xml:space="preserve">coefficients.</w:t>
      </w:r>
      <w:r>
        <w:t xml:space="preserve"> </w:t>
      </w:r>
      <w:r>
        <w:t xml:space="preserve">The exporter does not negate them: an actual MuJoCo URDF loadback test checks</w:t>
      </w:r>
      <w:r>
        <w:t xml:space="preserve"> </w:t>
      </w:r>
      <w:r>
        <w:t xml:space="preserve">the reconstructed native tensor and kinetic energy for an asymmetric inertia.</w:t>
      </w:r>
      <w:r>
        <w:t xml:space="preserve"> </w:t>
      </w:r>
      <w:r>
        <w:t xml:space="preserve">This verifies that particular exporter/consumer path, not every URDF parser or</w:t>
      </w:r>
      <w:r>
        <w:t xml:space="preserve"> </w:t>
      </w:r>
      <w:r>
        <w:t xml:space="preserve">native engine.</w:t>
      </w:r>
    </w:p>
    <w:bookmarkEnd w:id="119"/>
    <w:bookmarkEnd w:id="120"/>
    <w:bookmarkStart w:id="124" w:name="algorithm-1"/>
    <w:p>
      <w:pPr>
        <w:pStyle w:val="Heading2"/>
      </w:pPr>
      <w:r>
        <w:t xml:space="preserve">Algorithm</w:t>
      </w:r>
    </w:p>
    <w:bookmarkStart w:id="121" w:name="inputs-1"/>
    <w:p>
      <w:pPr>
        <w:pStyle w:val="Heading3"/>
      </w:pPr>
      <w:r>
        <w:t xml:space="preserve">Inputs</w:t>
      </w:r>
    </w:p>
    <w:p>
      <w:pPr>
        <w:pStyle w:val="FirstParagraph"/>
      </w:pPr>
      <w:r>
        <w:t xml:space="preserve">The public function</w:t>
      </w:r>
      <w:r>
        <w:t xml:space="preserve"> </w:t>
      </w:r>
      <w:r>
        <w:rPr>
          <w:rStyle w:val="VerbatimChar"/>
        </w:rPr>
        <w:t xml:space="preserve">compute_triangle_lamina(vertices, faces, mass)</w:t>
      </w:r>
      <w:r>
        <w:t xml:space="preserve"> </w:t>
      </w:r>
      <w:r>
        <w:t xml:space="preserve">consumes</w:t>
      </w:r>
      <w:r>
        <w:t xml:space="preserve"> </w:t>
      </w:r>
      <w:r>
        <w:t xml:space="preserve">only the arrays and scalar above. It does not consume a path, mesh object,</w:t>
      </w:r>
      <w:r>
        <w:t xml:space="preserve"> </w:t>
      </w:r>
      <w:r>
        <w:t xml:space="preserve">transform, frame label, density, thickness, or native model.</w:t>
      </w:r>
    </w:p>
    <w:bookmarkEnd w:id="121"/>
    <w:bookmarkStart w:id="122" w:name="procedure-1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4"/>
        </w:numPr>
      </w:pPr>
      <w:r>
        <w:t xml:space="preserve">Validate the mass and array shapes, finiteness, face dtype, and index bounds.</w:t>
      </w:r>
    </w:p>
    <w:p>
      <w:pPr>
        <w:pStyle w:val="Compact"/>
        <w:numPr>
          <w:ilvl w:val="0"/>
          <w:numId w:val="1004"/>
        </w:numPr>
      </w:pPr>
      <w:r>
        <w:t xml:space="preserve">Gather indexed triangles and compute unsigned area weights.</w:t>
      </w:r>
    </w:p>
    <w:p>
      <w:pPr>
        <w:pStyle w:val="Compact"/>
        <w:numPr>
          <w:ilvl w:val="0"/>
          <w:numId w:val="1004"/>
        </w:numPr>
      </w:pPr>
      <w:r>
        <w:t xml:space="preserve">Reject nonpositive or nonfinite total area; omit only exactly zero-area</w:t>
      </w:r>
      <w:r>
        <w:t xml:space="preserve"> </w:t>
      </w:r>
      <w:r>
        <w:t xml:space="preserve">triangles from moment/topology accumulation.</w:t>
      </w:r>
    </w:p>
    <w:p>
      <w:pPr>
        <w:pStyle w:val="Compact"/>
        <w:numPr>
          <w:ilvl w:val="0"/>
          <w:numId w:val="1004"/>
        </w:numPr>
      </w:pPr>
      <w:r>
        <w:t xml:space="preserve">Choose the first vertex of a maximum-area face as a local origin, then</w:t>
      </w:r>
      <w:r>
        <w:t xml:space="preserve"> </w:t>
      </w:r>
      <w:r>
        <w:t xml:space="preserve">compute weighted center and central covariance in that translated frame.</w:t>
      </w:r>
    </w:p>
    <w:p>
      <w:pPr>
        <w:pStyle w:val="Compact"/>
        <w:numPr>
          <w:ilvl w:val="0"/>
          <w:numId w:val="1004"/>
        </w:numPr>
      </w:pPr>
      <w:r>
        <w:t xml:space="preserve">Convert covariance to inertia and reject nonfinite center or tensor values.</w:t>
      </w:r>
    </w:p>
    <w:p>
      <w:pPr>
        <w:pStyle w:val="Compact"/>
        <w:numPr>
          <w:ilvl w:val="0"/>
          <w:numId w:val="1004"/>
        </w:numPr>
      </w:pPr>
      <w:r>
        <w:t xml:space="preserve">Count exact duplicate positive-area coordinate triangles independent of</w:t>
      </w:r>
      <w:r>
        <w:t xml:space="preserve"> </w:t>
      </w:r>
      <w:r>
        <w:t xml:space="preserve">winding, and count edge degree using source vertex indices.</w:t>
      </w:r>
    </w:p>
    <w:p>
      <w:pPr>
        <w:pStyle w:val="Compact"/>
        <w:numPr>
          <w:ilvl w:val="0"/>
          <w:numId w:val="1004"/>
        </w:numPr>
      </w:pPr>
      <w:r>
        <w:t xml:space="preserve">Return a distinct lamina mode and explicit diagnostics without repairing or</w:t>
      </w:r>
      <w:r>
        <w:t xml:space="preserve"> </w:t>
      </w:r>
      <w:r>
        <w:t xml:space="preserve">modifying source arrays.</w:t>
      </w:r>
    </w:p>
    <w:p>
      <w:pPr>
        <w:pStyle w:val="FirstParagraph"/>
      </w:pPr>
      <w:r>
        <w:t xml:space="preserve">The numerical arrays are vectorized over faces. Working memory is linear in</w:t>
      </w:r>
      <w:r>
        <w:t xml:space="preserve"> </w:t>
      </w:r>
      <w:r>
        <w:t xml:space="preserve">the number of input faces; uniqueness diagnostics sort/compare face and edge</w:t>
      </w:r>
      <w:r>
        <w:t xml:space="preserve"> </w:t>
      </w:r>
      <w:r>
        <w:t xml:space="preserve">records and are not a streaming algorithm.</w:t>
      </w:r>
    </w:p>
    <w:bookmarkEnd w:id="122"/>
    <w:bookmarkStart w:id="123" w:name="outputs-1"/>
    <w:p>
      <w:pPr>
        <w:pStyle w:val="Heading3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TriangleLaminaResult</w:t>
      </w:r>
      <w:r>
        <w:t xml:space="preserve"> </w:t>
      </w:r>
      <w:r>
        <w:t xml:space="preserve">contains an</w:t>
      </w:r>
      <w:r>
        <w:t xml:space="preserve"> </w:t>
      </w:r>
      <w:r>
        <w:rPr>
          <w:rStyle w:val="VerbatimChar"/>
        </w:rPr>
        <w:t xml:space="preserve">InertiaResult</w:t>
      </w:r>
      <w:r>
        <w:t xml:space="preserve">, total area, zero-area face</w:t>
      </w:r>
      <w:r>
        <w:t xml:space="preserve"> </w:t>
      </w:r>
      <w:r>
        <w:t xml:space="preserve">count, duplicate positive-area coordinate-face count, indexed boundary-edge</w:t>
      </w:r>
      <w:r>
        <w:t xml:space="preserve"> </w:t>
      </w:r>
      <w:r>
        <w:t xml:space="preserve">count, and indexed nonmanifold-edge count. The embedded legacy result object</w:t>
      </w:r>
      <w:r>
        <w:t xml:space="preserve"> </w:t>
      </w:r>
      <w:r>
        <w:t xml:space="preserve">remains mutable for compatibility. Counts are diagnostics, not mesh validation.</w:t>
      </w:r>
    </w:p>
    <w:bookmarkEnd w:id="123"/>
    <w:bookmarkEnd w:id="124"/>
    <w:bookmarkStart w:id="127" w:name="implementation-symbols-1"/>
    <w:p>
      <w:pPr>
        <w:pStyle w:val="Heading2"/>
      </w:pPr>
      <w:r>
        <w:t xml:space="preserve">Implementation Symbols</w:t>
      </w:r>
    </w:p>
    <w:bookmarkStart w:id="125" w:name="public-symbols-1"/>
    <w:p>
      <w:pPr>
        <w:pStyle w:val="Heading3"/>
      </w:pPr>
      <w:r>
        <w:t xml:space="preserve">Public Symbols</w:t>
      </w:r>
    </w:p>
    <w:p>
      <w:pPr>
        <w:pStyle w:val="FirstParagraph"/>
      </w:pPr>
      <w:r>
        <w:rPr>
          <w:rStyle w:val="VerbatimChar"/>
        </w:rPr>
        <w:t xml:space="preserve">compute_triangle_lamina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TriangleLaminaResult</w:t>
      </w:r>
      <w:r>
        <w:t xml:space="preserve"> </w:t>
      </w:r>
      <w:r>
        <w:t xml:space="preserve">are defined in</w:t>
      </w:r>
      <w:r>
        <w:t xml:space="preserve"> </w:t>
      </w:r>
      <w:r>
        <w:rPr>
          <w:rStyle w:val="VerbatimChar"/>
        </w:rPr>
        <w:t xml:space="preserve">src/shared/python/humanoid_character_builder/mesh/triangle_lamina.py</w:t>
      </w:r>
      <w:r>
        <w:t xml:space="preserve">.</w:t>
      </w:r>
      <w:r>
        <w:t xml:space="preserve"> </w:t>
      </w:r>
      <w:r>
        <w:rPr>
          <w:rStyle w:val="VerbatimChar"/>
        </w:rPr>
        <w:t xml:space="preserve">InertiaMode.TRIANGLE_MULTISET_LAMINA_MASS</w:t>
      </w:r>
      <w:r>
        <w:t xml:space="preserve"> </w:t>
      </w:r>
      <w:r>
        <w:t xml:space="preserve">and the compatible</w:t>
      </w:r>
      <w:r>
        <w:t xml:space="preserve"> </w:t>
      </w:r>
      <w:r>
        <w:rPr>
          <w:rStyle w:val="VerbatimChar"/>
        </w:rPr>
        <w:t xml:space="preserve">InertiaResult</w:t>
      </w:r>
      <w:r>
        <w:t xml:space="preserve"> </w:t>
      </w:r>
      <w:r>
        <w:t xml:space="preserve">representation are defined in</w:t>
      </w:r>
      <w:r>
        <w:t xml:space="preserve"> </w:t>
      </w:r>
      <w:r>
        <w:rPr>
          <w:rStyle w:val="VerbatimChar"/>
        </w:rPr>
        <w:t xml:space="preserve">src/shared/python/humanoid_character_builder/mesh/inertia_calculator.py</w:t>
      </w:r>
      <w:r>
        <w:t xml:space="preserve">.</w:t>
      </w:r>
      <w:r>
        <w:t xml:space="preserve"> </w:t>
      </w:r>
      <w:r>
        <w:t xml:space="preserve">This note does not assert that the module is a stable published consumer API.</w:t>
      </w:r>
    </w:p>
    <w:bookmarkEnd w:id="125"/>
    <w:bookmarkStart w:id="126" w:name="source-mapping-1"/>
    <w:p>
      <w:pPr>
        <w:pStyle w:val="Heading3"/>
      </w:pPr>
      <w:r>
        <w:t xml:space="preserve">Source Mapping</w:t>
      </w:r>
    </w:p>
    <w:p>
      <w:pPr>
        <w:pStyle w:val="FirstParagraph"/>
      </w:pPr>
      <w:r>
        <w:t xml:space="preserve">The method maps to</w:t>
      </w:r>
      <w:r>
        <w:t xml:space="preserve"> </w:t>
      </w:r>
      <w:r>
        <w:rPr>
          <w:rStyle w:val="VerbatimChar"/>
        </w:rPr>
        <w:t xml:space="preserve">_area_weights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_centered_moments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compute_triangle_lamina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triangle_lamina.py</w:t>
      </w:r>
      <w:r>
        <w:t xml:space="preserve">; mode identity is mapped in</w:t>
      </w:r>
      <w:r>
        <w:t xml:space="preserve"> </w:t>
      </w:r>
      <w:r>
        <w:rPr>
          <w:rStyle w:val="VerbatimChar"/>
        </w:rPr>
        <w:t xml:space="preserve">inertia_calculator.py</w:t>
      </w:r>
      <w:r>
        <w:t xml:space="preserve">. Analytic and metamorphic checks are in</w:t>
      </w:r>
      <w:r>
        <w:t xml:space="preserve"> </w:t>
      </w:r>
      <w:r>
        <w:rPr>
          <w:rStyle w:val="VerbatimChar"/>
        </w:rPr>
        <w:t xml:space="preserve">src/shared/python/humanoid_character_builder/tests/test_triangle_lamina.py</w:t>
      </w:r>
      <w:r>
        <w:t xml:space="preserve">.</w:t>
      </w:r>
      <w:r>
        <w:t xml:space="preserve"> </w:t>
      </w:r>
      <w:r>
        <w:t xml:space="preserve">This kernel is separate from</w:t>
      </w:r>
      <w:r>
        <w:t xml:space="preserve"> </w:t>
      </w:r>
      <w:r>
        <w:rPr>
          <w:rStyle w:val="VerbatimChar"/>
        </w:rPr>
        <w:t xml:space="preserve">MeshInertiaCalculator</w:t>
      </w:r>
      <w:r>
        <w:t xml:space="preserve">, which derives solid</w:t>
      </w:r>
      <w:r>
        <w:t xml:space="preserve"> </w:t>
      </w:r>
      <w:r>
        <w:t xml:space="preserve">properties from volume-mesh processing and watertightness policy.</w:t>
      </w:r>
    </w:p>
    <w:bookmarkEnd w:id="126"/>
    <w:bookmarkEnd w:id="127"/>
    <w:bookmarkStart w:id="130" w:name="error-and-failure-semantics-1"/>
    <w:p>
      <w:pPr>
        <w:pStyle w:val="Heading2"/>
      </w:pPr>
      <w:r>
        <w:t xml:space="preserve">Error and Failure Semantics</w:t>
      </w:r>
    </w:p>
    <w:bookmarkStart w:id="128" w:name="error-conditions-1"/>
    <w:p>
      <w:pPr>
        <w:pStyle w:val="Heading3"/>
      </w:pPr>
      <w:r>
        <w:t xml:space="preserve">Error Conditions</w:t>
      </w:r>
    </w:p>
    <w:p>
      <w:pPr>
        <w:pStyle w:val="FirstParagraph"/>
      </w:pPr>
      <w:r>
        <w:t xml:space="preserve">Wrong scalar kind or noninteger face indices raise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 Invalid scalar</w:t>
      </w:r>
      <w:r>
        <w:t xml:space="preserve"> </w:t>
      </w:r>
      <w:r>
        <w:t xml:space="preserve">range, malformed/nonfinite vertices, face shape or bounds, no positive finite</w:t>
      </w:r>
      <w:r>
        <w:t xml:space="preserve"> </w:t>
      </w:r>
      <w:r>
        <w:t xml:space="preserve">total area, and nonfinite output moments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The function does</w:t>
      </w:r>
      <w:r>
        <w:t xml:space="preserve"> </w:t>
      </w:r>
      <w:r>
        <w:t xml:space="preserve">not repair malformed topology or substitute default mass/geometry.</w:t>
      </w:r>
    </w:p>
    <w:bookmarkEnd w:id="128"/>
    <w:bookmarkStart w:id="129" w:name="recovery-and-cancellation-1"/>
    <w:p>
      <w:pPr>
        <w:pStyle w:val="Heading3"/>
      </w:pPr>
      <w:r>
        <w:t xml:space="preserve">Recovery and Cancellation</w:t>
      </w:r>
    </w:p>
    <w:p>
      <w:pPr>
        <w:pStyle w:val="FirstParagraph"/>
      </w:pPr>
      <w:r>
        <w:t xml:space="preserve">The caller must correct source inputs and resubmit. There is no partial result,</w:t>
      </w:r>
      <w:r>
        <w:t xml:space="preserve"> </w:t>
      </w:r>
      <w:r>
        <w:t xml:space="preserve">fallback solid calculation, or cancellation callback. Large inputs are bounded</w:t>
      </w:r>
      <w:r>
        <w:t xml:space="preserve"> </w:t>
      </w:r>
      <w:r>
        <w:t xml:space="preserve">only by caller-provided memory and face count; this API provides no resource</w:t>
      </w:r>
      <w:r>
        <w:t xml:space="preserve"> </w:t>
      </w:r>
      <w:r>
        <w:t xml:space="preserve">budget or streaming cancellation guarantee.</w:t>
      </w:r>
    </w:p>
    <w:bookmarkEnd w:id="129"/>
    <w:bookmarkEnd w:id="130"/>
    <w:bookmarkStart w:id="133" w:name="uncertainty-and-sensitivity-1"/>
    <w:p>
      <w:pPr>
        <w:pStyle w:val="Heading2"/>
      </w:pPr>
      <w:r>
        <w:t xml:space="preserve">Uncertainty and Sensitivity</w:t>
      </w:r>
    </w:p>
    <w:bookmarkStart w:id="131" w:name="uncertainty-sources-1"/>
    <w:p>
      <w:pPr>
        <w:pStyle w:val="Heading3"/>
      </w:pPr>
      <w:r>
        <w:t xml:space="preserve">Uncertainty Sources</w:t>
      </w:r>
    </w:p>
    <w:p>
      <w:pPr>
        <w:pStyle w:val="FirstParagraph"/>
      </w:pPr>
      <w:r>
        <w:t xml:space="preserve">This kernel propagates no uncertainty distribution. Its values depend on</w:t>
      </w:r>
      <w:r>
        <w:t xml:space="preserve"> </w:t>
      </w:r>
      <w:r>
        <w:t xml:space="preserve">caller-selected coordinates, mesh sampling, face multiplicity, declared mass,</w:t>
      </w:r>
      <w:r>
        <w:t xml:space="preserve"> </w:t>
      </w:r>
      <w:r>
        <w:t xml:space="preserve">and the unverified assumption of uniform area density. It does not determine</w:t>
      </w:r>
      <w:r>
        <w:t xml:space="preserve"> </w:t>
      </w:r>
      <w:r>
        <w:t xml:space="preserve">whether those assumptions are appropriate for an object or body segment.</w:t>
      </w:r>
    </w:p>
    <w:bookmarkEnd w:id="131"/>
    <w:bookmarkStart w:id="132" w:name="sensitivity-1"/>
    <w:p>
      <w:pPr>
        <w:pStyle w:val="Heading3"/>
      </w:pPr>
      <w:r>
        <w:t xml:space="preserve">Sensitivity</w:t>
      </w:r>
    </w:p>
    <w:p>
      <w:pPr>
        <w:pStyle w:val="FirstParagraph"/>
      </w:pPr>
      <w:r>
        <w:t xml:space="preserve">Area and second moments are sensitive to coordinate perturbations and changes</w:t>
      </w:r>
      <w:r>
        <w:t xml:space="preserve"> </w:t>
      </w:r>
      <w:r>
        <w:t xml:space="preserve">in tessellation or face multiplicity. Very small representable positive areas</w:t>
      </w:r>
      <w:r>
        <w:t xml:space="preserve"> </w:t>
      </w:r>
      <w:r>
        <w:t xml:space="preserve">remain in the calculation; no tolerance silently removes them. Nonzero areas</w:t>
      </w:r>
      <w:r>
        <w:t xml:space="preserve"> </w:t>
      </w:r>
      <w:r>
        <w:t xml:space="preserve">or fractions not representable as positive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are rejected. Summation</w:t>
      </w:r>
      <w:r>
        <w:t xml:space="preserve"> </w:t>
      </w:r>
      <w:r>
        <w:t xml:space="preserve">and floating-point rounding still affect results. The local-origin accumulation</w:t>
      </w:r>
      <w:r>
        <w:t xml:space="preserve"> </w:t>
      </w:r>
      <w:r>
        <w:t xml:space="preserve">reduces avoidable cancellation for translated geometry but does not provide an</w:t>
      </w:r>
      <w:r>
        <w:t xml:space="preserve"> </w:t>
      </w:r>
      <w:r>
        <w:t xml:space="preserve">error bound for every scale or conditioning regime.</w:t>
      </w:r>
    </w:p>
    <w:bookmarkEnd w:id="132"/>
    <w:bookmarkEnd w:id="133"/>
    <w:bookmarkStart w:id="136" w:name="verification-and-validation-1"/>
    <w:p>
      <w:pPr>
        <w:pStyle w:val="Heading2"/>
      </w:pPr>
      <w:r>
        <w:t xml:space="preserve">Verification and Validation</w:t>
      </w:r>
    </w:p>
    <w:bookmarkStart w:id="134" w:name="test-evidence-1"/>
    <w:p>
      <w:pPr>
        <w:pStyle w:val="Heading3"/>
      </w:pPr>
      <w:r>
        <w:t xml:space="preserve">Test Evidence</w:t>
      </w:r>
    </w:p>
    <w:p>
      <w:pPr>
        <w:pStyle w:val="FirstParagraph"/>
      </w:pPr>
      <w:r>
        <w:rPr>
          <w:rStyle w:val="VerbatimChar"/>
        </w:rPr>
        <w:t xml:space="preserve">test_triangle_analytic_mass_com_and_off_diagonal</w:t>
      </w:r>
      <w:r>
        <w:t xml:space="preserve"> </w:t>
      </w:r>
      <w:r>
        <w:t xml:space="preserve">checks the exact triangular</w:t>
      </w:r>
      <w:r>
        <w:t xml:space="preserve"> </w:t>
      </w:r>
      <w:r>
        <w:t xml:space="preserve">lamina result. Other tests check a rectangular plate and subdivision, an</w:t>
      </w:r>
      <w:r>
        <w:t xml:space="preserve"> </w:t>
      </w:r>
      <w:r>
        <w:t xml:space="preserve">analytic cube shell, rigid transforms/scaling/input immutability, duplicate</w:t>
      </w:r>
      <w:r>
        <w:t xml:space="preserve"> </w:t>
      </w:r>
      <w:r>
        <w:t xml:space="preserve">and degenerate faces, remote negligible-area faces, small representable and</w:t>
      </w:r>
      <w:r>
        <w:t xml:space="preserve"> </w:t>
      </w:r>
      <w:r>
        <w:t xml:space="preserve">unrepresentable areas, complex-coordinate rejection, and invalid input classes.</w:t>
      </w:r>
      <w:r>
        <w:t xml:space="preserve"> </w:t>
      </w:r>
      <w:r>
        <w:t xml:space="preserve">These are independent synthetic analytic or metamorphic tests; they are not</w:t>
      </w:r>
      <w:r>
        <w:t xml:space="preserve"> </w:t>
      </w:r>
      <w:r>
        <w:t xml:space="preserve">validation against a measured object or biomechanical segment.</w:t>
      </w:r>
    </w:p>
    <w:bookmarkEnd w:id="134"/>
    <w:bookmarkStart w:id="135" w:name="acceptance-criteria-1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Numerical kernel acceptance requires finite typed inputs, correct analytic</w:t>
      </w:r>
      <w:r>
        <w:t xml:space="preserve"> </w:t>
      </w:r>
      <w:r>
        <w:t xml:space="preserve">moments, expected rigid-transform and subdivision invariants, explicit</w:t>
      </w:r>
      <w:r>
        <w:t xml:space="preserve"> </w:t>
      </w:r>
      <w:r>
        <w:t xml:space="preserve">degeneracy diagnostics, and fail-closed invalid-input behavior. Those criteria</w:t>
      </w:r>
      <w:r>
        <w:t xml:space="preserve"> </w:t>
      </w:r>
      <w:r>
        <w:t xml:space="preserve">do not establish source asset provenance, unit/frame correctness of a producer,</w:t>
      </w:r>
      <w:r>
        <w:t xml:space="preserve"> </w:t>
      </w:r>
      <w:r>
        <w:t xml:space="preserve">partial-overlap handling, biological mass distribution, or native-model</w:t>
      </w:r>
      <w:r>
        <w:t xml:space="preserve"> </w:t>
      </w:r>
      <w:r>
        <w:t xml:space="preserve">admission. The calculation freshness generator currently executes only the</w:t>
      </w:r>
      <w:r>
        <w:t xml:space="preserve"> </w:t>
      </w:r>
      <w:r>
        <w:t xml:space="preserve">D-plane pathway; this note therefore remains outside the registered calculation</w:t>
      </w:r>
      <w:r>
        <w:t xml:space="preserve"> </w:t>
      </w:r>
      <w:r>
        <w:t xml:space="preserve">set and cannot be represented as freshness-verified or exemplar-verified.</w:t>
      </w:r>
    </w:p>
    <w:bookmarkEnd w:id="135"/>
    <w:bookmarkEnd w:id="136"/>
    <w:bookmarkStart w:id="139" w:name="limits-and-applicability-1"/>
    <w:p>
      <w:pPr>
        <w:pStyle w:val="Heading2"/>
      </w:pPr>
      <w:r>
        <w:t xml:space="preserve">Limits and Applicability</w:t>
      </w:r>
    </w:p>
    <w:bookmarkStart w:id="137" w:name="validity-range-1"/>
    <w:p>
      <w:pPr>
        <w:pStyle w:val="Heading3"/>
      </w:pPr>
      <w:r>
        <w:t xml:space="preserve">Validity Range</w:t>
      </w:r>
    </w:p>
    <w:p>
      <w:pPr>
        <w:pStyle w:val="FirstParagraph"/>
      </w:pPr>
      <w:r>
        <w:t xml:space="preserve">The equations apply to a finite positive-area triangle multiset in one</w:t>
      </w:r>
      <w:r>
        <w:t xml:space="preserve"> </w:t>
      </w:r>
      <w:r>
        <w:t xml:space="preserve">orthonormal Euclidean metre frame with a positive finite caller-owned total</w:t>
      </w:r>
      <w:r>
        <w:t xml:space="preserve"> </w:t>
      </w:r>
      <w:r>
        <w:t xml:space="preserve">mass. Degenerate faces may be present but contribute no area or mass. No</w:t>
      </w:r>
      <w:r>
        <w:t xml:space="preserve"> </w:t>
      </w:r>
      <w:r>
        <w:t xml:space="preserve">evidence here establishes useful geometric scales beyond representable,</w:t>
      </w:r>
      <w:r>
        <w:t xml:space="preserve"> </w:t>
      </w:r>
      <w:r>
        <w:t xml:space="preserve">finite floating-point inputs.</w:t>
      </w:r>
    </w:p>
    <w:bookmarkEnd w:id="137"/>
    <w:bookmarkStart w:id="138" w:name="known-limitations-1"/>
    <w:p>
      <w:pPr>
        <w:pStyle w:val="Heading3"/>
      </w:pPr>
      <w:r>
        <w:t xml:space="preserve">Known Limitations</w:t>
      </w:r>
    </w:p>
    <w:p>
      <w:pPr>
        <w:pStyle w:val="FirstParagraph"/>
      </w:pPr>
      <w:r>
        <w:t xml:space="preserve">Coincident triangles retain multiplicity; partial overlap is neither detected</w:t>
      </w:r>
      <w:r>
        <w:t xml:space="preserve"> </w:t>
      </w:r>
      <w:r>
        <w:t xml:space="preserve">nor corrected. Duplicate detection is exact-coordinate and ignores winding,</w:t>
      </w:r>
      <w:r>
        <w:t xml:space="preserve"> </w:t>
      </w:r>
      <w:r>
        <w:t xml:space="preserve">whereas edge topology uses vertex indices. Indexed boundary/nonmanifold counts</w:t>
      </w:r>
      <w:r>
        <w:t xml:space="preserve"> </w:t>
      </w:r>
      <w:r>
        <w:t xml:space="preserve">do not prove surface closure, manifoldness, or self-intersection absence. No</w:t>
      </w:r>
      <w:r>
        <w:t xml:space="preserve"> </w:t>
      </w:r>
      <w:r>
        <w:t xml:space="preserve">volume, thickness, density field, material, anatomy, frame transform, native</w:t>
      </w:r>
      <w:r>
        <w:t xml:space="preserve"> </w:t>
      </w:r>
      <w:r>
        <w:t xml:space="preserve">asset loader, downstream consumer or physical acceptance is included. The</w:t>
      </w:r>
      <w:r>
        <w:t xml:space="preserve"> </w:t>
      </w:r>
      <w:r>
        <w:t xml:space="preserve">registered calculation, freshness workflow, source asset producer and any</w:t>
      </w:r>
      <w:r>
        <w:t xml:space="preserve"> </w:t>
      </w:r>
      <w:r>
        <w:t xml:space="preserve">engineering-use approval remain blocked.</w:t>
      </w:r>
    </w:p>
    <w:bookmarkEnd w:id="138"/>
    <w:bookmarkEnd w:id="139"/>
    <w:bookmarkStart w:id="142" w:name="worked-examples-1"/>
    <w:p>
      <w:pPr>
        <w:pStyle w:val="Heading2"/>
      </w:pPr>
      <w:r>
        <w:t xml:space="preserve">Worked Examples</w:t>
      </w:r>
    </w:p>
    <w:bookmarkStart w:id="140" w:name="example-inputs-1"/>
    <w:p>
      <w:pPr>
        <w:pStyle w:val="Heading3"/>
      </w:pPr>
      <w:r>
        <w:t xml:space="preserve">Example Inputs</w:t>
      </w:r>
    </w:p>
    <w:p>
      <w:pPr>
        <w:pStyle w:val="FirstParagraph"/>
      </w:pPr>
      <w:r>
        <w:t xml:space="preserve">Use vertices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metres, one face with indices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 total mass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kg. The triangle area is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m² and the face</w:t>
      </w:r>
      <w:r>
        <w:t xml:space="preserve"> </w:t>
      </w:r>
      <w:r>
        <w:t xml:space="preserve">receives all of the declared mass.</w:t>
      </w:r>
    </w:p>
    <w:bookmarkEnd w:id="140"/>
    <w:bookmarkStart w:id="141" w:name="example-results-1"/>
    <w:p>
      <w:pPr>
        <w:pStyle w:val="Heading3"/>
      </w:pPr>
      <w:r>
        <w:t xml:space="preserve">Example Results</w:t>
      </w:r>
    </w:p>
    <w:p>
      <w:pPr>
        <w:pStyle w:val="FirstParagraph"/>
      </w:pPr>
      <w:r>
        <w:t xml:space="preserve">The centroid 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m. Integrating the uniform triangular area gives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m².</w:t>
      </w:r>
      <w:r>
        <w:t xml:space="preserve"> </w:t>
      </w:r>
      <w:r>
        <w:t xml:space="preserve">The returned inertia matrix is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kg m², with</w:t>
      </w:r>
      <w:r>
        <w:t xml:space="preserve"> </w:t>
      </w:r>
      <w:r>
        <w:t xml:space="preserve">all three indexed edges counted as boundary edges. The example verifies the</w:t>
      </w:r>
      <w:r>
        <w:t xml:space="preserve"> </w:t>
      </w:r>
      <w:r>
        <w:t xml:space="preserve">kernel’s declared lamina equations; it is not an asset-backed exemplar or</w:t>
      </w:r>
      <w:r>
        <w:t xml:space="preserve"> </w:t>
      </w:r>
      <w:r>
        <w:t xml:space="preserve">evidence about a physical segment.</w:t>
      </w:r>
    </w:p>
    <w:bookmarkEnd w:id="141"/>
    <w:bookmarkEnd w:id="142"/>
    <w:bookmarkStart w:id="147" w:name="references-and-provenance-1"/>
    <w:p>
      <w:pPr>
        <w:pStyle w:val="Heading2"/>
      </w:pPr>
      <w:r>
        <w:t xml:space="preserve">References and Provenance</w:t>
      </w:r>
    </w:p>
    <w:bookmarkStart w:id="145" w:name="references-2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src/shared/python/humanoid_character_builder/mesh/triangle_lamina.py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 of the triangle-multiset weighting and moments.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src/shared/python/humanoid_character_builder/mesh/inertia_calculator.py</w:t>
      </w:r>
      <w:r>
        <w:t xml:space="preserve"> </w:t>
      </w:r>
      <w:r>
        <w:t xml:space="preserve">—</w:t>
      </w:r>
      <w:r>
        <w:t xml:space="preserve"> </w:t>
      </w:r>
      <w:r>
        <w:t xml:space="preserve">compatible result/mode definitions and separate solid-mesh pathway.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src/shared/python/humanoid_character_builder/tests/test_triangle_lamina.py</w:t>
      </w:r>
      <w:r>
        <w:t xml:space="preserve"> </w:t>
      </w:r>
      <w:r>
        <w:t xml:space="preserve">—</w:t>
      </w:r>
      <w:r>
        <w:t xml:space="preserve"> </w:t>
      </w:r>
      <w:r>
        <w:t xml:space="preserve">analytic and metamorphic synthetic tests.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src/shared/python/humanoid_character_builder/tests/test_urdf_inertia_export.py</w:t>
      </w:r>
      <w:r>
        <w:t xml:space="preserve"> </w:t>
      </w:r>
      <w:r>
        <w:t xml:space="preserve">—</w:t>
      </w:r>
      <w:r>
        <w:t xml:space="preserve"> </w:t>
      </w:r>
      <w:r>
        <w:t xml:space="preserve">symmetric-entry round-trip and an actual MuJoCo tensor/kinetic-energy readback.</w:t>
      </w:r>
    </w:p>
    <w:p>
      <w:pPr>
        <w:pStyle w:val="Compact"/>
        <w:numPr>
          <w:ilvl w:val="0"/>
          <w:numId w:val="1005"/>
        </w:numPr>
      </w:pPr>
      <w:hyperlink r:id="rId143">
        <w:r>
          <w:rPr>
            <w:rStyle w:val="Hyperlink"/>
          </w:rPr>
          <w:t xml:space="preserve">Inertia tensor of a triangle in barycentric coordinates</w:t>
        </w:r>
      </w:hyperlink>
      <w:r>
        <w:t xml:space="preserve"> </w:t>
      </w:r>
      <w:r>
        <w:t xml:space="preserve">— independent</w:t>
      </w:r>
      <w:r>
        <w:t xml:space="preserve"> </w:t>
      </w:r>
      <w:r>
        <w:t xml:space="preserve">derivation reference for triangle area moments.</w:t>
      </w:r>
    </w:p>
    <w:p>
      <w:pPr>
        <w:pStyle w:val="Compact"/>
        <w:numPr>
          <w:ilvl w:val="0"/>
          <w:numId w:val="1005"/>
        </w:numPr>
      </w:pPr>
      <w:hyperlink r:id="rId144">
        <w:r>
          <w:rPr>
            <w:rStyle w:val="Hyperlink"/>
          </w:rPr>
          <w:t xml:space="preserve">ROS 2 KDL URDF parser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primary consumer source for the direct tensor-coefficient interpretation</w:t>
      </w:r>
      <w:r>
        <w:t xml:space="preserve"> </w:t>
      </w:r>
      <w:r>
        <w:t xml:space="preserve">tested by the exporter regression.</w:t>
      </w:r>
    </w:p>
    <w:bookmarkEnd w:id="145"/>
    <w:bookmarkStart w:id="146" w:name="provenance-1"/>
    <w:p>
      <w:pPr>
        <w:pStyle w:val="Heading3"/>
      </w:pPr>
      <w:r>
        <w:t xml:space="preserve">Provenance</w:t>
      </w:r>
    </w:p>
    <w:p>
      <w:pPr>
        <w:pStyle w:val="FirstParagraph"/>
      </w:pPr>
      <w:r>
        <w:t xml:space="preserve">This chapter is a provisional technical note for Tools #5503/#5504. The exact</w:t>
      </w:r>
      <w:r>
        <w:t xml:space="preserve"> </w:t>
      </w:r>
      <w:r>
        <w:t xml:space="preserve">source and tests are tracked in the same development change. The canonical</w:t>
      </w:r>
      <w:r>
        <w:t xml:space="preserve"> </w:t>
      </w:r>
      <w:r>
        <w:t xml:space="preserve">module inventory is regenerated, but executable freshness support beyond the</w:t>
      </w:r>
      <w:r>
        <w:t xml:space="preserve"> </w:t>
      </w:r>
      <w:r>
        <w:t xml:space="preserve">D-plane calculation, governed calculation registration, source geometry</w:t>
      </w:r>
      <w:r>
        <w:t xml:space="preserve"> </w:t>
      </w:r>
      <w:r>
        <w:t xml:space="preserve">producer, anatomical consumer traceability, external scientific review,</w:t>
      </w:r>
      <w:r>
        <w:t xml:space="preserve"> </w:t>
      </w:r>
      <w:r>
        <w:t xml:space="preserve">artifact/page review, and human approval are not complete. The MuJoCo check is</w:t>
      </w:r>
      <w:r>
        <w:t xml:space="preserve"> </w:t>
      </w:r>
      <w:r>
        <w:t xml:space="preserve">limited to an analytic asymmetric URDF fixture and does not establish</w:t>
      </w:r>
      <w:r>
        <w:t xml:space="preserve"> </w:t>
      </w:r>
      <w:r>
        <w:t xml:space="preserve">all-engine parity. No private mesh or capture data is used or reproduced here.</w:t>
      </w:r>
    </w:p>
    <w:bookmarkEnd w:id="146"/>
    <w:bookmarkEnd w:id="147"/>
    <w:bookmarkStart w:id="154" w:name="revision-history-1"/>
    <w:p>
      <w:pPr>
        <w:pStyle w:val="Heading2"/>
      </w:pPr>
      <w:r>
        <w:t xml:space="preserve">Revision History</w:t>
      </w:r>
    </w:p>
    <w:bookmarkStart w:id="153" w:name="revision-record-1"/>
    <w:p>
      <w:pPr>
        <w:pStyle w:val="Heading3"/>
      </w:pPr>
      <w:r>
        <w:t xml:space="preserve">Revision Record</w:t>
      </w:r>
    </w:p>
    <w:p>
      <w:pPr>
        <w:pStyle w:val="Compact"/>
        <w:numPr>
          <w:ilvl w:val="0"/>
          <w:numId w:val="1006"/>
        </w:numPr>
      </w:pPr>
      <w:r>
        <w:t xml:space="preserve">0.1.0 (2026-10-10): Document the provisional triangle-multiset lamina</w:t>
      </w:r>
      <w:r>
        <w:t xml:space="preserve"> </w:t>
      </w:r>
      <w:r>
        <w:t xml:space="preserve">kernel and its analytic/synthetic evidence; keep governed registration and</w:t>
      </w:r>
      <w:r>
        <w:t xml:space="preserve"> </w:t>
      </w:r>
      <w:r>
        <w:t xml:space="preserve">all source/consumer/engineering qualification blocked.</w:t>
      </w:r>
    </w:p>
    <w:bookmarkStart w:id="152" w:name="refs"/>
    <w:bookmarkStart w:id="149" w:name="ref-pandoc-manual"/>
    <w:p>
      <w:pPr>
        <w:pStyle w:val="Bibliography"/>
      </w:pPr>
      <w:r>
        <w:t xml:space="preserve">Pandoc contributors. 2026.</w:t>
      </w:r>
      <w:r>
        <w:t xml:space="preserve"> </w:t>
      </w:r>
      <w:r>
        <w:rPr>
          <w:i/>
          <w:iCs/>
        </w:rPr>
        <w:t xml:space="preserve">Pandoc User’s Guide</w:t>
      </w:r>
      <w:r>
        <w:t xml:space="preserve">. Pandoc.</w:t>
      </w:r>
      <w:r>
        <w:t xml:space="preserve"> </w:t>
      </w:r>
      <w:hyperlink r:id="rId148">
        <w:r>
          <w:rPr>
            <w:rStyle w:val="Hyperlink"/>
          </w:rPr>
          <w:t xml:space="preserve">https://pandoc.org/MANUAL.html</w:t>
        </w:r>
      </w:hyperlink>
      <w:r>
        <w:t xml:space="preserve">.</w:t>
      </w:r>
    </w:p>
    <w:bookmarkEnd w:id="149"/>
    <w:bookmarkStart w:id="151" w:name="ref-quarto-guide"/>
    <w:p>
      <w:pPr>
        <w:pStyle w:val="Bibliography"/>
      </w:pPr>
      <w:r>
        <w:t xml:space="preserve">Posit Software, PBC. 2026.</w:t>
      </w:r>
      <w:r>
        <w:t xml:space="preserve"> </w:t>
      </w:r>
      <w:r>
        <w:rPr>
          <w:i/>
          <w:iCs/>
        </w:rPr>
        <w:t xml:space="preserve">Quarto Guide</w:t>
      </w:r>
      <w:r>
        <w:t xml:space="preserve">. Posit Software, PBC.</w:t>
      </w:r>
      <w:r>
        <w:t xml:space="preserve"> </w:t>
      </w:r>
      <w:hyperlink r:id="rId150">
        <w:r>
          <w:rPr>
            <w:rStyle w:val="Hyperlink"/>
          </w:rPr>
          <w:t xml:space="preserve">https://quarto.org/docs/guide/</w:t>
        </w:r>
      </w:hyperlink>
      <w:r>
        <w:t xml:space="preserve">.</w:t>
      </w:r>
    </w:p>
    <w:bookmarkEnd w:id="151"/>
    <w:bookmarkEnd w:id="152"/>
    <w:bookmarkEnd w:id="153"/>
    <w:bookmarkEnd w:id="154"/>
    <w:bookmarkEnd w:id="155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573"/>
        <w:sz w:val="16"/>
      </w:rPr>
      <w:t>Tools Engineering Design Manual | Generated - Unapproved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120" w:before="0" w:line="300" w:lineRule="auto"/>
    </w:pPr>
    <w:rPr>
      <w:rFonts w:ascii="Arial" w:hAnsi="Arial"/>
      <w:b w:val="0"/>
      <w:color w:val="2025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40" w:lineRule="auto"/>
      <w:outlineLvl w:val="0"/>
    </w:pPr>
    <w:rPr>
      <w:rFonts w:ascii="Arial" w:asciiTheme="majorHAnsi" w:cstheme="majorBidi" w:eastAsiaTheme="majorEastAsia" w:hAnsi="Arial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 w:line="240" w:lineRule="auto"/>
      <w:outlineLvl w:val="1"/>
    </w:pPr>
    <w:rPr>
      <w:rFonts w:ascii="Arial" w:asciiTheme="majorHAnsi" w:cstheme="majorBidi" w:eastAsiaTheme="majorEastAsia" w:hAnsi="Arial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 w:line="240" w:lineRule="auto"/>
      <w:outlineLvl w:val="2"/>
    </w:pPr>
    <w:rPr>
      <w:rFonts w:ascii="Arial" w:asciiTheme="majorHAnsi" w:cstheme="majorBidi" w:eastAsiaTheme="majorEastAsia" w:hAnsi="Arial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rial" w:asciiTheme="majorHAnsi" w:cstheme="majorBidi" w:eastAsiaTheme="majorEastAsia" w:hAnsi="Arial" w:hAnsiTheme="majorHAnsi"/>
      <w:b/>
      <w:color w:val="1F4D78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280" w:before="0" w:line="240" w:lineRule="auto"/>
    </w:pPr>
    <w:rPr>
      <w:rFonts w:ascii="Arial" w:asciiTheme="majorHAnsi" w:cstheme="majorBidi" w:eastAsiaTheme="majorEastAsia" w:hAnsi="Arial" w:hAnsiTheme="majorHAnsi"/>
      <w:b w:val="0"/>
      <w:i/>
      <w:iCs/>
      <w:color w:val="20252B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/>
      <w:spacing w:after="120" w:before="80" w:line="240" w:lineRule="auto"/>
    </w:pPr>
    <w:rPr>
      <w:rFonts w:ascii="Arial" w:hAnsi="Arial"/>
      <w:b w:val="0"/>
      <w:bCs/>
      <w:color w:val="20252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hyperlink" Id="rId144" Target="https://github.com/ros/kdl_parser/blob/ros2/kdl_parser/src/kdl_parser.cpp" TargetMode="External" /><Relationship Type="http://schemas.openxmlformats.org/officeDocument/2006/relationships/hyperlink" Id="rId148" Target="https://pandoc.org/MANUAL.html" TargetMode="External" /><Relationship Type="http://schemas.openxmlformats.org/officeDocument/2006/relationships/hyperlink" Id="rId143" Target="https://pure.korea.ac.kr/en/publications/inertia-tensor-of-a-triangle-in-barycentric-coordinates/" TargetMode="External" /><Relationship Type="http://schemas.openxmlformats.org/officeDocument/2006/relationships/hyperlink" Id="rId150" Target="https://quarto.org/docs/guide/" TargetMode="External" /><Relationship Type="http://schemas.openxmlformats.org/officeDocument/2006/relationships/hyperlink" Id="rId100" Target="https://www.mathworks.com/help/releases/R2025b/simulink/slref/simulink.op.modeloperatingpoint.html" TargetMode="External" /><Relationship Type="http://schemas.openxmlformats.org/officeDocument/2006/relationships/hyperlink" Id="rId101" Target="https://www.mathworks.com/help/releases/R2025b/simulink/ug/model-operating-point-for-faster-simul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github.com/ros/kdl_parser/blob/ros2/kdl_parser/src/kdl_parser.cpp" TargetMode="External" /><Relationship Type="http://schemas.openxmlformats.org/officeDocument/2006/relationships/hyperlink" Id="rId148" Target="https://pandoc.org/MANUAL.html" TargetMode="External" /><Relationship Type="http://schemas.openxmlformats.org/officeDocument/2006/relationships/hyperlink" Id="rId143" Target="https://pure.korea.ac.kr/en/publications/inertia-tensor-of-a-triangle-in-barycentric-coordinates/" TargetMode="External" /><Relationship Type="http://schemas.openxmlformats.org/officeDocument/2006/relationships/hyperlink" Id="rId150" Target="https://quarto.org/docs/guide/" TargetMode="External" /><Relationship Type="http://schemas.openxmlformats.org/officeDocument/2006/relationships/hyperlink" Id="rId100" Target="https://www.mathworks.com/help/releases/R2025b/simulink/slref/simulink.op.modeloperatingpoint.html" TargetMode="External" /><Relationship Type="http://schemas.openxmlformats.org/officeDocument/2006/relationships/hyperlink" Id="rId101" Target="https://www.mathworks.com/help/releases/R2025b/simulink/ug/model-operating-point-for-faster-simul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Tools Engineering Design Manual</dc:title>
  <dc:creator/>
  <dc:language>en-US</dc:language>
  <cp:keywords/>
  <dcterms:created xsi:type="dcterms:W3CDTF">2026-08-26T00:00:00Z</dcterms:created>
  <dcterms:modified xsi:type="dcterms:W3CDTF">2026-08-26T00:00:00Z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manuals/tools/references.bib</vt:lpwstr>
  </property>
  <property fmtid="{D5CDD505-2E9C-101B-9397-08002B2CF9AE}" pid="3" name="format">
    <vt:lpwstr/>
  </property>
  <property fmtid="{D5CDD505-2E9C-101B-9397-08002B2CF9AE}" pid="4" name="subtitle">
    <vt:lpwstr>Governed Shared Calculations and Interchange Pathways</vt:lpwstr>
  </property>
</Properties>
</file>