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588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8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333333"/>
          <w:sz w:val="56"/>
        </w:rPr>
        <w:t>GreenLedger Forensic Audit</w:t>
      </w:r>
    </w:p>
    <w:p>
      <w:pPr>
        <w:jc w:val="center"/>
      </w:pPr>
      <w:r>
        <w:rPr>
          <w:color w:val="849495"/>
          <w:sz w:val="22"/>
        </w:rPr>
        <w:t>INSTITUTIONAL ESG RISK INTELLIGENCE REPORT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DATE</w:t>
              <w:br/>
            </w:r>
            <w:r>
              <w:rPr>
                <w:b/>
                <w:sz w:val="20"/>
              </w:rPr>
              <w:t>April 15, 2026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REFERENCE</w:t>
              <w:br/>
            </w:r>
            <w:r>
              <w:rPr>
                <w:b/>
                <w:sz w:val="20"/>
              </w:rPr>
              <w:t>GL-26-AUDIT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STATUS</w:t>
              <w:br/>
            </w:r>
            <w:r>
              <w:rPr>
                <w:b/>
                <w:sz w:val="20"/>
              </w:rPr>
              <w:t>VERIFIED</w:t>
            </w:r>
          </w:p>
        </w:tc>
      </w:tr>
    </w:tbl>
    <w:p>
      <w:r>
        <w:br w:type="page"/>
      </w:r>
    </w:p>
    <w:p>
      <w:pPr>
        <w:pStyle w:val="Heading1"/>
        <w:pBdr>
          <w:top w:val="single" w:sz="12" w:color="6BB347" w:space="12"/>
        </w:pBdr>
      </w:pPr>
      <w:r>
        <w:t>Report Highlights</w:t>
      </w:r>
    </w:p>
    <w:p>
      <w:pPr/>
      <w:r>
        <w:t>This technical summary details findings from the Kinetic Observatory audit sweep. Our forensic models have identified inconsistencies across the portfolio's climate-zero reporting trajectories.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sz="6" w:color="333333" w:val="single"/>
            </w:tcBorders>
          </w:tcPr>
          <w:p>
            <w:r>
              <w:rPr>
                <w:b/>
                <w:sz w:val="18"/>
              </w:rPr>
              <w:t>AUDIT ENTITY</w:t>
            </w:r>
          </w:p>
        </w:tc>
        <w:tc>
          <w:tcPr>
            <w:tcW w:type="dxa" w:w="2880"/>
            <w:tcBorders>
              <w:bottom w:sz="6" w:color="333333" w:val="single"/>
            </w:tcBorders>
          </w:tcPr>
          <w:p>
            <w:r>
              <w:rPr>
                <w:b/>
                <w:sz w:val="18"/>
              </w:rPr>
              <w:t>RISK POSTURE</w:t>
            </w:r>
          </w:p>
        </w:tc>
        <w:tc>
          <w:tcPr>
            <w:tcW w:type="dxa" w:w="2880"/>
            <w:tcBorders>
              <w:bottom w:sz="6" w:color="333333" w:val="single"/>
            </w:tcBorders>
          </w:tcPr>
          <w:p>
            <w:r>
              <w:rPr>
                <w:b/>
                <w:sz w:val="18"/>
              </w:rPr>
              <w:t>CONFIDENCE</w:t>
            </w:r>
          </w:p>
        </w:tc>
      </w:tr>
      <w:tr>
        <w:tc>
          <w:tcPr>
            <w:tcW w:type="dxa" w:w="2880"/>
            <w:tcBorders>
              <w:bottom w:sz="2" w:color="EEEEEE" w:val="single"/>
            </w:tcBorders>
          </w:tcPr>
          <w:p>
            <w:r>
              <w:rPr>
                <w:color w:val="333333"/>
                <w:sz w:val="18"/>
              </w:rPr>
              <w:t>EcoCorp reaches 100% recycled energy across a...</w:t>
            </w:r>
          </w:p>
        </w:tc>
        <w:tc>
          <w:tcPr>
            <w:tcW w:type="dxa" w:w="2880"/>
            <w:tcBorders>
              <w:bottom w:sz="2" w:color="EEEEEE" w:val="single"/>
            </w:tcBorders>
          </w:tcPr>
          <w:p>
            <w:r>
              <w:rPr>
                <w:color w:val="333333"/>
                <w:sz w:val="18"/>
              </w:rPr>
              <w:t>LOW</w:t>
            </w:r>
          </w:p>
        </w:tc>
        <w:tc>
          <w:tcPr>
            <w:tcW w:type="dxa" w:w="2880"/>
            <w:tcBorders>
              <w:bottom w:sz="2" w:color="EEEEEE" w:val="single"/>
            </w:tcBorders>
          </w:tcPr>
          <w:p>
            <w:r>
              <w:rPr>
                <w:color w:val="333333"/>
                <w:sz w:val="18"/>
              </w:rPr>
              <w:t>94% correlation</w:t>
            </w:r>
          </w:p>
        </w:tc>
      </w:tr>
    </w:tbl>
    <w:p>
      <w:r>
        <w:br w:type="page"/>
      </w:r>
    </w:p>
    <w:p>
      <w:pPr>
        <w:pStyle w:val="Heading1"/>
        <w:pBdr>
          <w:top w:val="single" w:sz="12" w:color="6BB347" w:space="12"/>
        </w:pBdr>
      </w:pPr>
      <w:r>
        <w:t>Audit Analysis: EcoCorp reaches 100% recycled ...</w:t>
      </w:r>
    </w:p>
    <w:p>
      <w:pPr/>
      <w:r>
        <w:t>Verified Claim: "EcoCorp reaches 100% recycled energy across all G7 data centers."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sz="4" w:color="6BB347" w:val="single"/>
              <w:bottom w:sz="4" w:color="6BB347" w:val="single"/>
            </w:tcBorders>
          </w:tcPr>
          <w:p>
            <w:r>
              <w:rPr>
                <w:b/>
              </w:rPr>
              <w:t xml:space="preserve">Executive Verdict: </w:t>
            </w:r>
            <w:r>
              <w:rPr>
                <w:sz w:val="22"/>
              </w:rPr>
              <w:t>Verification of energy sourcing across European and North American tier-1 data hubs.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428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2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rPr>
                <w:b/>
              </w:rPr>
              <w:t>Forensic Explanation</w:t>
              <w:br/>
            </w:r>
            <w:r>
              <w:rPr>
                <w:sz w:val="18"/>
              </w:rPr>
              <w:t>Our forensic sweep of renewable energy certificates (RECs) confirms a 98% match with public claims. The remaining 2% represents technical line loss not typically reported in standard disclosures.</w:t>
            </w:r>
          </w:p>
        </w:tc>
      </w:tr>
    </w:tbl>
    <w:p>
      <w:pPr>
        <w:pStyle w:val="Heading2"/>
      </w:pPr>
      <w:r>
        <w:t>Evidence Trace &amp; Key Risks</w:t>
      </w:r>
    </w:p>
    <w:p>
      <w:pPr/>
      <w:r>
        <w:rPr>
          <w:sz w:val="18"/>
        </w:rPr>
        <w:t>- Minor latency in Scope 2 reporting for newly acquired nodes.</w:t>
        <w:br/>
        <w:t>- Regional grid variations in fossil-fuel fallback periods.</w:t>
      </w:r>
    </w:p>
    <w:p>
      <w:pPr>
        <w:pStyle w:val="Heading2"/>
      </w:pPr>
      <w:r>
        <w:t>Institutional Recommendations</w:t>
      </w:r>
    </w:p>
    <w:p>
      <w:pPr/>
      <w:r>
        <w:rPr>
          <w:sz w:val="18"/>
        </w:rPr>
        <w:t>Include regional grid emission factors in the next disclosure cycle to achieve 99% transparency.</w:t>
      </w:r>
    </w:p>
    <w:p>
      <w:r>
        <w:br w:type="page"/>
      </w:r>
    </w:p>
    <w:p>
      <w:pPr>
        <w:pStyle w:val="Heading1"/>
        <w:pBdr>
          <w:top w:val="single" w:sz="12" w:color="00A3E0" w:space="12"/>
        </w:pBdr>
      </w:pPr>
      <w:r>
        <w:t>Appendix: Kinetic Methodology</w:t>
      </w:r>
    </w:p>
    <w:p>
      <w:pPr/>
      <w:r>
        <w:t>Deep-search logic utilizes the Relayto-Protocol to sweep institutional dark data sets for climate posturing inconsistencies.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49495"/>
        <w:sz w:val="16"/>
      </w:rPr>
      <w:t>GreenLedger | Confidential Audit Record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