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7361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736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GreenLedger Forensic Intelligence</w:t>
      </w:r>
    </w:p>
    <w:p>
      <w:pPr>
        <w:jc w:val="center"/>
      </w:pPr>
      <w:r>
        <w:rPr>
          <w:color w:val="849495"/>
          <w:sz w:val="32"/>
        </w:rPr>
        <w:t>Institutional ESG Verification &amp; Risk Audit Phase III</w:t>
      </w:r>
    </w:p>
    <w:p/>
    <w:p/>
    <w:p/>
    <w:p/>
    <w:p/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Prepared For:</w:t>
            </w:r>
          </w:p>
        </w:tc>
        <w:tc>
          <w:tcPr>
            <w:tcW w:type="dxa" w:w="4320"/>
          </w:tcPr>
          <w:p>
            <w:r>
              <w:t>Confidential Institutional Client</w:t>
            </w:r>
          </w:p>
        </w:tc>
      </w:tr>
      <w:tr>
        <w:tc>
          <w:tcPr>
            <w:tcW w:type="dxa" w:w="4320"/>
          </w:tcPr>
          <w:p>
            <w:r>
              <w:t>Report Reference:</w:t>
            </w:r>
          </w:p>
        </w:tc>
        <w:tc>
          <w:tcPr>
            <w:tcW w:type="dxa" w:w="4320"/>
          </w:tcPr>
          <w:p>
            <w:r>
              <w:t>GL-AUDIT-2026-04-15</w:t>
            </w:r>
          </w:p>
        </w:tc>
      </w:tr>
      <w:tr>
        <w:tc>
          <w:tcPr>
            <w:tcW w:type="dxa" w:w="4320"/>
          </w:tcPr>
          <w:p>
            <w:r>
              <w:t>Audit Standard:</w:t>
            </w:r>
          </w:p>
        </w:tc>
        <w:tc>
          <w:tcPr>
            <w:tcW w:type="dxa" w:w="4320"/>
          </w:tcPr>
          <w:p>
            <w:r>
              <w:t>Forensic Kinetic Observatory Protocol v2.4</w:t>
            </w:r>
          </w:p>
        </w:tc>
      </w:tr>
    </w:tbl>
    <w:p>
      <w:r>
        <w:br w:type="page"/>
      </w:r>
    </w:p>
    <w:p>
      <w:pPr>
        <w:pStyle w:val="Heading1"/>
      </w:pPr>
      <w:r>
        <w:t>I. Executive Management Summary</w:t>
      </w:r>
    </w:p>
    <w:p>
      <w:r>
        <w:t>This portfolio audit summarizes verified corporate ESG claims captured via the Kinetic Observatory. The risk posture reflects real-time inconsistencies between corporate public disclosures and live global telemetry.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Target Entity / Claim</w:t>
            </w:r>
          </w:p>
        </w:tc>
        <w:tc>
          <w:tcPr>
            <w:tcW w:type="dxa" w:w="2880"/>
          </w:tcPr>
          <w:p>
            <w:r>
              <w:t>Risk Posture</w:t>
            </w:r>
          </w:p>
        </w:tc>
        <w:tc>
          <w:tcPr>
            <w:tcW w:type="dxa" w:w="2880"/>
          </w:tcPr>
          <w:p>
            <w:r>
              <w:t>Forensic Confidence</w:t>
            </w:r>
          </w:p>
        </w:tc>
      </w:tr>
      <w:tr>
        <w:tc>
          <w:tcPr>
            <w:tcW w:type="dxa" w:w="2880"/>
          </w:tcPr>
          <w:p>
            <w:r>
              <w:t>Test Corp 2030 Carbon Neutrality</w:t>
            </w:r>
          </w:p>
        </w:tc>
        <w:tc>
          <w:tcPr>
            <w:tcW w:type="dxa" w:w="2880"/>
          </w:tcPr>
          <w:p>
            <w:r>
              <w:t>🔴 HIGH RISK</w:t>
            </w:r>
          </w:p>
        </w:tc>
        <w:tc>
          <w:tcPr>
            <w:tcW w:type="dxa" w:w="2880"/>
          </w:tcPr>
          <w:p>
            <w:r>
              <w:t>92% (High Correlation)</w:t>
            </w:r>
          </w:p>
        </w:tc>
      </w:tr>
    </w:tbl>
    <w:p>
      <w:r>
        <w:br/>
        <w:t>Conclusion: The audited portfolio shows elevated risk in 2030 trajectories due to significant reporting gaps in Scope 3 indirect emissions.</w:t>
      </w:r>
    </w:p>
    <w:p>
      <w:r>
        <w:br w:type="page"/>
      </w:r>
    </w:p>
    <w:p>
      <w:pPr>
        <w:pStyle w:val="Heading1"/>
      </w:pPr>
      <w:r>
        <w:t>Audit Result: Neutral rephrasing of the claim....</w:t>
      </w:r>
    </w:p>
    <w:p>
      <w:r>
        <w:rPr>
          <w:i/>
        </w:rPr>
        <w:t>Verified Statement: "Test Corp 2030 Carbon Neutrality"</w:t>
      </w:r>
    </w:p>
    <w:p>
      <w:r>
        <w:rPr>
          <w:b/>
        </w:rPr>
        <w:t>Summary: Neutral rephrasing of the claim.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80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15357837792844316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1. Forensic Analytical Deep-Dive</w:t>
      </w:r>
    </w:p>
    <w:p>
      <w:pPr/>
      <w:r>
        <w:t>Detailed forensic analysis here about the risks and gaps.</w:t>
      </w:r>
    </w:p>
    <w:p>
      <w:pPr>
        <w:pStyle w:val="Heading2"/>
      </w:pPr>
      <w:r>
        <w:t>2. Primary ESG Risk Factors</w:t>
      </w:r>
    </w:p>
    <w:p>
      <w:pPr/>
      <w:r>
        <w:t>- Issue 1</w:t>
        <w:br/>
        <w:t>- Issue 2</w:t>
      </w:r>
    </w:p>
    <w:p>
      <w:pPr>
        <w:pStyle w:val="Heading2"/>
      </w:pPr>
      <w:r>
        <w:t>3. Evidence &amp; Proof</w:t>
      </w:r>
    </w:p>
    <w:p>
      <w:pPr/>
      <w:r>
        <w:t>- Source 1 | 2024 | Snippet</w:t>
        <w:br/>
        <w:t>- Source 2 | 2025 | Snippet</w:t>
      </w:r>
    </w:p>
    <w:p>
      <w:pPr>
        <w:pStyle w:val="Heading2"/>
      </w:pPr>
      <w:r>
        <w:t>4. Forensic Verdict</w:t>
      </w:r>
    </w:p>
    <w:p>
      <w:r>
        <w:rPr>
          <w:b/>
        </w:rPr>
        <w:t>This is a high risk claim.</w:t>
      </w:r>
    </w:p>
    <w:p>
      <w:pPr>
        <w:pStyle w:val="Heading2"/>
      </w:pPr>
      <w:r>
        <w:t>5. Institutional Improvements</w:t>
      </w:r>
    </w:p>
    <w:p>
      <w:pPr/>
      <w:r>
        <w:t>Provide better data.</w:t>
      </w:r>
    </w:p>
    <w:p>
      <w:pPr>
        <w:pStyle w:val="Heading2"/>
      </w:pPr>
      <w:r>
        <w:t>6. GreenLedger Hashed Integrity</w:t>
      </w:r>
    </w:p>
    <w:p>
      <w:r>
        <w:t>This record is permanently anchored in the Kinetic Observatory ledger.</w:t>
      </w:r>
    </w:p>
    <w:p>
      <w:r>
        <w:rPr>
          <w:rFonts w:ascii="Courier New" w:hAnsi="Courier New"/>
          <w:sz w:val="18"/>
        </w:rPr>
        <w:t>LEDGER_TXID: a3c4008a0e45465269692cb0286d1ce543e59842ab1a634db277c8af7f6ec978</w:t>
      </w:r>
    </w:p>
    <w:p>
      <w:r>
        <w:br w:type="page"/>
      </w:r>
    </w:p>
    <w:p>
      <w:pPr>
        <w:pStyle w:val="Heading1"/>
      </w:pPr>
      <w:r>
        <w:t>Appendix A: Forensic Methodology</w:t>
      </w:r>
    </w:p>
    <w:p>
      <w:r>
        <w:t>The Kinetic Observatory utilizes a multi-node search sweep using specialized scrapers to identify 'Dark Data'—ESG risks not present in official corporate sustainability reports. By cross-referencing live news sources, regulatory filings, and localized ESG telemetry, we identify inconsistencies in greenwashing attempts.</w:t>
      </w:r>
    </w:p>
    <w:p>
      <w:pPr>
        <w:pStyle w:val="Heading1"/>
      </w:pPr>
      <w:r>
        <w:t>Appendix B: Institutional Disclaimer</w:t>
      </w:r>
    </w:p>
    <w:p>
      <w:pPr/>
      <w:r>
        <w:rPr>
          <w:sz w:val="16"/>
        </w:rPr>
        <w:t>This report is for informational purposes only and does not constitute financial advice. GreenLedger utilizes AI-driven forensic models (Mistral-Medium) and live web data; while every effort is made for accuracy, real-time data shifts may impact veracity. This document is confidential to the intended recipient.</w:t>
      </w:r>
    </w:p>
    <w:sectPr w:rsidR="00FC693F" w:rsidRPr="0006063C" w:rsidSect="00034616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GreenLedger |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