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8"/>
          <w:szCs w:val="28"/>
        </w:rPr>
        <w:t xml:space="preserve">Project Interim Report Marking Sheet</w:t>
      </w:r>
    </w:p>
    <w:p>
      <w:pPr>
        <w:spacing w:after="300"/>
        <w:jc w:val="center"/>
      </w:pPr>
      <w:r>
        <w:rPr>
          <w:rFonts w:ascii="Arial" w:cs="Arial" w:eastAsia="Arial" w:hAnsi="Arial"/>
          <w:b/>
          <w:bCs/>
          <w:sz w:val="24"/>
          <w:szCs w:val="24"/>
        </w:rPr>
        <w:t xml:space="preserve">B.Sc. (Hons) in Computing Systems and Operations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vAlign w:val="center"/>
          </w:tcPr>
          <w:p>
            <w:pPr>
              <w:spacing w:after="40"/>
              <w:jc w:val="left"/>
            </w:pPr>
            <w:r>
              <w:rPr>
                <w:rFonts w:ascii="Arial" w:cs="Arial" w:eastAsia="Arial" w:hAnsi="Arial"/>
                <w:b/>
                <w:bCs/>
                <w:sz w:val="22"/>
                <w:szCs w:val="22"/>
              </w:rPr>
              <w:t xml:space="preserve">Student Name:</w:t>
            </w:r>
          </w:p>
        </w:tc>
        <w:tc>
          <w:tcPr>
            <w:tcW w:type="dxa" w:w="650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sz w:val="22"/>
                <w:szCs w:val="22"/>
              </w:rPr>
              <w:t xml:space="preserve">Hafsa Moin (D00256764) &amp; Luke Doyle (D00255656)</w:t>
            </w:r>
          </w:p>
        </w:tc>
      </w:tr>
      <w:tr>
        <w:tc>
          <w:tcPr>
            <w:tcW w:type="dxa" w:w="3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vAlign w:val="center"/>
          </w:tcPr>
          <w:p>
            <w:pPr>
              <w:spacing w:after="40"/>
              <w:jc w:val="left"/>
            </w:pPr>
            <w:r>
              <w:rPr>
                <w:rFonts w:ascii="Arial" w:cs="Arial" w:eastAsia="Arial" w:hAnsi="Arial"/>
                <w:b/>
                <w:bCs/>
                <w:sz w:val="22"/>
                <w:szCs w:val="22"/>
              </w:rPr>
              <w:t xml:space="preserve">Project Title:</w:t>
            </w:r>
          </w:p>
        </w:tc>
        <w:tc>
          <w:tcPr>
            <w:tcW w:type="dxa" w:w="650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sz w:val="22"/>
                <w:szCs w:val="22"/>
              </w:rPr>
              <w:t xml:space="preserve">UVote: Microservice-Based Online Voting Platform</w:t>
            </w:r>
          </w:p>
        </w:tc>
      </w:tr>
      <w:tr>
        <w:tc>
          <w:tcPr>
            <w:tcW w:type="dxa" w:w="3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vAlign w:val="center"/>
          </w:tcPr>
          <w:p>
            <w:pPr>
              <w:spacing w:after="40"/>
              <w:jc w:val="left"/>
            </w:pPr>
            <w:r>
              <w:rPr>
                <w:rFonts w:ascii="Arial" w:cs="Arial" w:eastAsia="Arial" w:hAnsi="Arial"/>
                <w:b/>
                <w:bCs/>
                <w:sz w:val="22"/>
                <w:szCs w:val="22"/>
              </w:rPr>
              <w:t xml:space="preserve">Date:</w:t>
            </w:r>
          </w:p>
        </w:tc>
        <w:tc>
          <w:tcPr>
            <w:tcW w:type="dxa" w:w="650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sz w:val="22"/>
                <w:szCs w:val="22"/>
              </w:rPr>
              <w:t xml:space="preserve">February 2026</w:t>
            </w:r>
          </w:p>
        </w:tc>
      </w:tr>
    </w:tbl>
    <w:p>
      <w:pPr>
        <w:spacing w:after="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1500"/>
        <w:gridCol w:w="1006"/>
      </w:tblGrid>
      <w:tr>
        <w:tc>
          <w:tcPr>
            <w:tcW w:type="dxa" w:w="4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vAlign w:val="center"/>
          </w:tcPr>
          <w:p>
            <w:pPr>
              <w:spacing w:after="40"/>
              <w:jc w:val="left"/>
            </w:pPr>
            <w:r>
              <w:rPr>
                <w:rFonts w:ascii="Arial" w:cs="Arial" w:eastAsia="Arial" w:hAnsi="Arial"/>
                <w:b/>
                <w:bCs/>
                <w:sz w:val="22"/>
                <w:szCs w:val="22"/>
              </w:rPr>
              <w:t xml:space="preserve">Components</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vAlign w:val="center"/>
          </w:tcPr>
          <w:p>
            <w:pPr>
              <w:spacing w:after="40"/>
              <w:jc w:val="left"/>
            </w:pPr>
            <w:r>
              <w:rPr>
                <w:rFonts w:ascii="Arial" w:cs="Arial" w:eastAsia="Arial" w:hAnsi="Arial"/>
                <w:b/>
                <w:bCs/>
                <w:sz w:val="22"/>
                <w:szCs w:val="22"/>
              </w:rPr>
              <w:t xml:space="preserve">Weight</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vAlign w:val="center"/>
          </w:tcPr>
          <w:p>
            <w:pPr>
              <w:spacing w:after="40"/>
              <w:jc w:val="left"/>
            </w:pPr>
            <w:r>
              <w:rPr>
                <w:rFonts w:ascii="Arial" w:cs="Arial" w:eastAsia="Arial" w:hAnsi="Arial"/>
                <w:b/>
                <w:bCs/>
                <w:sz w:val="22"/>
                <w:szCs w:val="22"/>
              </w:rPr>
              <w:t xml:space="preserve">Mark (%)</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vAlign w:val="center"/>
          </w:tcPr>
          <w:p>
            <w:pPr>
              <w:spacing w:after="40"/>
              <w:jc w:val="left"/>
            </w:pPr>
            <w:r>
              <w:rPr>
                <w:rFonts w:ascii="Arial" w:cs="Arial" w:eastAsia="Arial" w:hAnsi="Arial"/>
                <w:b/>
                <w:bCs/>
                <w:sz w:val="22"/>
                <w:szCs w:val="22"/>
              </w:rPr>
              <w:t xml:space="preserve">Weighted</w:t>
            </w:r>
          </w:p>
        </w:tc>
        <w:tc>
          <w:tcPr>
            <w:tcW w:type="dxa" w:w="1006"/>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vAlign w:val="center"/>
          </w:tcPr>
          <w:p>
            <w:pPr>
              <w:spacing w:after="40"/>
              <w:jc w:val="left"/>
            </w:pPr>
            <w:r>
              <w:rPr>
                <w:rFonts w:ascii="Arial" w:cs="Arial" w:eastAsia="Arial" w:hAnsi="Arial"/>
                <w:b/>
                <w:bCs/>
                <w:sz w:val="22"/>
                <w:szCs w:val="22"/>
              </w:rPr>
              <w:t xml:space="preserve"/>
            </w:r>
          </w:p>
        </w:tc>
      </w:tr>
      <w:tr>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sz w:val="22"/>
                <w:szCs w:val="22"/>
              </w:rPr>
              <w:t xml:space="preserve">1. Project Proposal</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center"/>
            </w:pPr>
            <w:r>
              <w:rPr>
                <w:rFonts w:ascii="Arial" w:cs="Arial" w:eastAsia="Arial" w:hAnsi="Arial"/>
                <w:sz w:val="22"/>
                <w:szCs w:val="22"/>
              </w:rPr>
              <w:t xml:space="preserve">25%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center"/>
            </w:pPr>
            <w:r>
              <w:rPr>
                <w:rFonts w:ascii="Arial" w:cs="Arial" w:eastAsia="Arial" w:hAnsi="Arial"/>
                <w:sz w:val="22"/>
                <w:szCs w:val="22"/>
              </w:rPr>
              <w:t xml:space="preserve">72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center"/>
            </w:pPr>
            <w:r>
              <w:rPr>
                <w:rFonts w:ascii="Arial" w:cs="Arial" w:eastAsia="Arial" w:hAnsi="Arial"/>
                <w:sz w:val="22"/>
                <w:szCs w:val="22"/>
              </w:rPr>
              <w:t xml:space="preserve">18.0</w:t>
            </w:r>
          </w:p>
        </w:tc>
        <w:tc>
          <w:tcPr>
            <w:tcW w:type="dxa" w:w="100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sz w:val="22"/>
                <w:szCs w:val="22"/>
              </w:rPr>
              <w:t xml:space="preserve"/>
            </w:r>
          </w:p>
        </w:tc>
      </w:tr>
      <w:tr>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sz w:val="22"/>
                <w:szCs w:val="22"/>
              </w:rPr>
              <w:t xml:space="preserve">2. MVP Prototype Demo</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center"/>
            </w:pPr>
            <w:r>
              <w:rPr>
                <w:rFonts w:ascii="Arial" w:cs="Arial" w:eastAsia="Arial" w:hAnsi="Arial"/>
                <w:sz w:val="22"/>
                <w:szCs w:val="22"/>
              </w:rPr>
              <w:t xml:space="preserve">50%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center"/>
            </w:pPr>
            <w:r>
              <w:rPr>
                <w:rFonts w:ascii="Arial" w:cs="Arial" w:eastAsia="Arial" w:hAnsi="Arial"/>
                <w:sz w:val="22"/>
                <w:szCs w:val="22"/>
              </w:rPr>
              <w:t xml:space="preserve">68</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center"/>
            </w:pPr>
            <w:r>
              <w:rPr>
                <w:rFonts w:ascii="Arial" w:cs="Arial" w:eastAsia="Arial" w:hAnsi="Arial"/>
                <w:sz w:val="22"/>
                <w:szCs w:val="22"/>
              </w:rPr>
              <w:t xml:space="preserve">34.0</w:t>
            </w:r>
          </w:p>
        </w:tc>
        <w:tc>
          <w:tcPr>
            <w:tcW w:type="dxa" w:w="100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sz w:val="22"/>
                <w:szCs w:val="22"/>
              </w:rPr>
              <w:t xml:space="preserve"/>
            </w:r>
          </w:p>
        </w:tc>
      </w:tr>
      <w:tr>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sz w:val="22"/>
                <w:szCs w:val="22"/>
              </w:rPr>
              <w:t xml:space="preserve">3. Documentation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center"/>
            </w:pPr>
            <w:r>
              <w:rPr>
                <w:rFonts w:ascii="Arial" w:cs="Arial" w:eastAsia="Arial" w:hAnsi="Arial"/>
                <w:sz w:val="22"/>
                <w:szCs w:val="22"/>
              </w:rPr>
              <w:t xml:space="preserve">50%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center"/>
            </w:pPr>
            <w:r>
              <w:rPr>
                <w:rFonts w:ascii="Arial" w:cs="Arial" w:eastAsia="Arial" w:hAnsi="Arial"/>
                <w:sz w:val="22"/>
                <w:szCs w:val="22"/>
              </w:rPr>
              <w:t xml:space="preserve">65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center"/>
            </w:pPr>
            <w:r>
              <w:rPr>
                <w:rFonts w:ascii="Arial" w:cs="Arial" w:eastAsia="Arial" w:hAnsi="Arial"/>
                <w:sz w:val="22"/>
                <w:szCs w:val="22"/>
              </w:rPr>
              <w:t xml:space="preserve">32.5</w:t>
            </w:r>
          </w:p>
        </w:tc>
        <w:tc>
          <w:tcPr>
            <w:tcW w:type="dxa" w:w="100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sz w:val="22"/>
                <w:szCs w:val="22"/>
              </w:rPr>
              <w:t xml:space="preserve"/>
            </w:r>
          </w:p>
        </w:tc>
      </w:tr>
      <w:tr>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sz w:val="22"/>
                <w:szCs w:val="22"/>
              </w:rPr>
              <w:t xml:space="preserve">4. Platform Design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center"/>
            </w:pPr>
            <w:r>
              <w:rPr>
                <w:rFonts w:ascii="Arial" w:cs="Arial" w:eastAsia="Arial" w:hAnsi="Arial"/>
                <w:sz w:val="22"/>
                <w:szCs w:val="22"/>
              </w:rPr>
              <w:t xml:space="preserve">25%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center"/>
            </w:pPr>
            <w:r>
              <w:rPr>
                <w:rFonts w:ascii="Arial" w:cs="Arial" w:eastAsia="Arial" w:hAnsi="Arial"/>
                <w:sz w:val="22"/>
                <w:szCs w:val="22"/>
              </w:rPr>
              <w:t xml:space="preserve">65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center"/>
            </w:pPr>
            <w:r>
              <w:rPr>
                <w:rFonts w:ascii="Arial" w:cs="Arial" w:eastAsia="Arial" w:hAnsi="Arial"/>
                <w:sz w:val="22"/>
                <w:szCs w:val="22"/>
              </w:rPr>
              <w:t xml:space="preserve">16.3</w:t>
            </w:r>
          </w:p>
        </w:tc>
        <w:tc>
          <w:tcPr>
            <w:tcW w:type="dxa" w:w="100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sz w:val="22"/>
                <w:szCs w:val="22"/>
              </w:rPr>
              <w:t xml:space="preserve"/>
            </w:r>
          </w:p>
        </w:tc>
      </w:tr>
      <w:tr>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b/>
                <w:bCs/>
                <w:sz w:val="22"/>
                <w:szCs w:val="22"/>
              </w:rPr>
              <w:t xml:space="preserve">TOTAL</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sz w:val="22"/>
                <w:szCs w:val="22"/>
              </w:rPr>
              <w:t xml:space="preserve"/>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sz w:val="22"/>
                <w:szCs w:val="22"/>
              </w:rPr>
              <w:t xml:space="preserve"/>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center"/>
            </w:pPr>
            <w:r>
              <w:rPr>
                <w:rFonts w:ascii="Arial" w:cs="Arial" w:eastAsia="Arial" w:hAnsi="Arial"/>
                <w:b/>
                <w:bCs/>
                <w:sz w:val="22"/>
                <w:szCs w:val="22"/>
              </w:rPr>
              <w:t xml:space="preserve">100.8</w:t>
            </w:r>
          </w:p>
        </w:tc>
        <w:tc>
          <w:tcPr>
            <w:tcW w:type="dxa" w:w="100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sz w:val="22"/>
                <w:szCs w:val="22"/>
              </w:rPr>
              <w:t xml:space="preserve"/>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0"/>
        <w:gridCol w:w="4006"/>
      </w:tblGrid>
      <w:tr>
        <w:tc>
          <w:tcPr>
            <w:tcW w:type="dxa" w:w="5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vAlign w:val="center"/>
          </w:tcPr>
          <w:p>
            <w:pPr>
              <w:spacing w:after="40"/>
              <w:jc w:val="left"/>
            </w:pPr>
            <w:r>
              <w:rPr>
                <w:rFonts w:ascii="Arial" w:cs="Arial" w:eastAsia="Arial" w:hAnsi="Arial"/>
                <w:b/>
                <w:bCs/>
                <w:sz w:val="22"/>
                <w:szCs w:val="22"/>
              </w:rPr>
              <w:t xml:space="preserve">1. Proposal (Weight: 25%)</w:t>
            </w:r>
          </w:p>
        </w:tc>
        <w:tc>
          <w:tcPr>
            <w:tcW w:type="dxa" w:w="400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b/>
                <w:bCs/>
                <w:sz w:val="22"/>
                <w:szCs w:val="22"/>
              </w:rPr>
              <w:t xml:space="preserve">Mark Awarded: 72%</w:t>
            </w:r>
          </w:p>
        </w:tc>
      </w:tr>
    </w:tbl>
    <w:p>
      <w:pPr>
        <w:spacing w:after="0" w:before="80"/>
      </w:pPr>
    </w:p>
    <w:p>
      <w:pPr>
        <w:spacing w:after="120" w:line="276"/>
      </w:pPr>
      <w:r>
        <w:rPr>
          <w:rFonts w:ascii="Arial" w:cs="Arial" w:eastAsia="Arial" w:hAnsi="Arial"/>
          <w:b/>
          <w:bCs/>
          <w:sz w:val="22"/>
          <w:szCs w:val="22"/>
        </w:rPr>
        <w:t xml:space="preserve">Comments</w:t>
      </w:r>
    </w:p>
    <w:p>
      <w:pPr>
        <w:spacing w:after="120" w:line="276"/>
      </w:pPr>
      <w:r>
        <w:rPr>
          <w:rFonts w:ascii="Arial" w:cs="Arial" w:eastAsia="Arial" w:hAnsi="Arial"/>
          <w:sz w:val="22"/>
          <w:szCs w:val="22"/>
        </w:rPr>
        <w:t xml:space="preserve">Clear problem statement and well-defined target users. Good use of functional and non-functional requirements with measurable acceptance criteria. The reference to Estonia’s I-Voting system shows awareness of the wider e-voting space.</w:t>
      </w:r>
    </w:p>
    <w:p>
      <w:pPr>
        <w:spacing w:after="120" w:line="276"/>
      </w:pPr>
      <w:r>
        <w:rPr>
          <w:rFonts w:ascii="Arial" w:cs="Arial" w:eastAsia="Arial" w:hAnsi="Arial"/>
          <w:sz w:val="22"/>
          <w:szCs w:val="22"/>
        </w:rPr>
        <w:t xml:space="preserve">Lacks formal academic references. At Level 8, some engagement with published research is expected to support claims about existing platform shortcomings.</w:t>
      </w:r>
    </w:p>
    <w:p>
      <w:pPr>
        <w:spacing w:after="0" w:before="3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0"/>
        <w:gridCol w:w="4006"/>
      </w:tblGrid>
      <w:tr>
        <w:tc>
          <w:tcPr>
            <w:tcW w:type="dxa" w:w="5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vAlign w:val="center"/>
          </w:tcPr>
          <w:p>
            <w:pPr>
              <w:spacing w:after="40"/>
              <w:jc w:val="left"/>
            </w:pPr>
            <w:r>
              <w:rPr>
                <w:rFonts w:ascii="Arial" w:cs="Arial" w:eastAsia="Arial" w:hAnsi="Arial"/>
                <w:b/>
                <w:bCs/>
                <w:sz w:val="22"/>
                <w:szCs w:val="22"/>
              </w:rPr>
              <w:t xml:space="preserve">2. Functional Prototype (Weight: 50%)</w:t>
            </w:r>
          </w:p>
        </w:tc>
        <w:tc>
          <w:tcPr>
            <w:tcW w:type="dxa" w:w="400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b/>
                <w:bCs/>
                <w:sz w:val="22"/>
                <w:szCs w:val="22"/>
              </w:rPr>
              <w:t xml:space="preserve">Mark Awarded: 68%</w:t>
            </w:r>
          </w:p>
        </w:tc>
      </w:tr>
    </w:tbl>
    <w:p>
      <w:pPr>
        <w:spacing w:after="0" w:before="80"/>
      </w:pPr>
    </w:p>
    <w:p>
      <w:pPr>
        <w:spacing w:after="120" w:line="276"/>
      </w:pPr>
      <w:r>
        <w:rPr>
          <w:rFonts w:ascii="Arial" w:cs="Arial" w:eastAsia="Arial" w:hAnsi="Arial"/>
          <w:b/>
          <w:bCs/>
          <w:sz w:val="22"/>
          <w:szCs w:val="22"/>
        </w:rPr>
        <w:t xml:space="preserve">Comments</w:t>
      </w:r>
    </w:p>
    <w:p>
      <w:pPr>
        <w:spacing w:after="120" w:line="276"/>
      </w:pPr>
      <w:r>
        <w:rPr>
          <w:rFonts w:ascii="Arial" w:cs="Arial" w:eastAsia="Arial" w:hAnsi="Arial"/>
          <w:sz w:val="22"/>
          <w:szCs w:val="22"/>
        </w:rPr>
        <w:t xml:space="preserve">Working end-to-end voting system demonstrated on Docker Compose. Admin workflow (registration, election creation, CSV voter import, token generation, email dispatch) and voter workflow (token link, DOB verification, ballot, vote casting, receipt) all functioned correctly.</w:t>
      </w:r>
    </w:p>
    <w:p>
      <w:pPr>
        <w:spacing w:after="120" w:line="276"/>
      </w:pPr>
      <w:r>
        <w:rPr>
          <w:rFonts w:ascii="Arial" w:cs="Arial" w:eastAsia="Arial" w:hAnsi="Arial"/>
          <w:sz w:val="22"/>
          <w:szCs w:val="22"/>
        </w:rPr>
        <w:t xml:space="preserve">Hafsa’s front-end was well designed with good attention to accessibility: clean layout, readable fonts, high contrast, and simple interactions. The voter experience was intuitive.</w:t>
      </w:r>
    </w:p>
    <w:p>
      <w:pPr>
        <w:spacing w:after="120" w:line="276"/>
      </w:pPr>
      <w:r>
        <w:rPr>
          <w:rFonts w:ascii="Arial" w:cs="Arial" w:eastAsia="Arial" w:hAnsi="Arial"/>
          <w:sz w:val="22"/>
          <w:szCs w:val="22"/>
        </w:rPr>
        <w:t xml:space="preserve">DOB verification is described as MFA in the documentation, but date of birth is not a true second factor. It is static data that is relatively easy to obtain. OTP would be a stronger approach. This should be addressed in Stage 2.</w:t>
      </w:r>
    </w:p>
    <w:p>
      <w:pPr>
        <w:spacing w:after="120" w:line="276"/>
      </w:pPr>
      <w:r>
        <w:rPr>
          <w:rFonts w:ascii="Arial" w:cs="Arial" w:eastAsia="Arial" w:hAnsi="Arial"/>
          <w:sz w:val="22"/>
          <w:szCs w:val="22"/>
        </w:rPr>
        <w:t xml:space="preserve">Elections are opened and closed manually by the admin. Time-window scheduling with automatic enforcement would be more robust and more realistic for actual election use.</w:t>
      </w:r>
    </w:p>
    <w:p>
      <w:pPr>
        <w:spacing w:after="120" w:line="276"/>
      </w:pPr>
      <w:r>
        <w:rPr>
          <w:rFonts w:ascii="Arial" w:cs="Arial" w:eastAsia="Arial" w:hAnsi="Arial"/>
          <w:sz w:val="22"/>
          <w:szCs w:val="22"/>
        </w:rPr>
        <w:t xml:space="preserve">The Kubernetes deployment described in the platform report was not demonstrated as running. The demo ran on Docker Compose. Completing the Kubernetes migration should be a Stage 2 priority.</w:t>
      </w:r>
    </w:p>
    <w:p>
      <w:pPr>
        <w:spacing w:after="120" w:line="276"/>
      </w:pPr>
      <w:r>
        <w:rPr>
          <w:rFonts w:ascii="Arial" w:cs="Arial" w:eastAsia="Arial" w:hAnsi="Arial"/>
          <w:sz w:val="22"/>
          <w:szCs w:val="22"/>
        </w:rPr>
        <w:t xml:space="preserve">Hash chaining of ballots and audit entries is described in detail in the documentation but was not implemented in the running system. This is noted as a gap between documentation and delivery.</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0"/>
        <w:gridCol w:w="4006"/>
      </w:tblGrid>
      <w:tr>
        <w:tc>
          <w:tcPr>
            <w:tcW w:type="dxa" w:w="5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vAlign w:val="center"/>
          </w:tcPr>
          <w:p>
            <w:pPr>
              <w:spacing w:after="40"/>
              <w:jc w:val="left"/>
            </w:pPr>
            <w:r>
              <w:rPr>
                <w:rFonts w:ascii="Arial" w:cs="Arial" w:eastAsia="Arial" w:hAnsi="Arial"/>
                <w:b/>
                <w:bCs/>
                <w:sz w:val="22"/>
                <w:szCs w:val="22"/>
              </w:rPr>
              <w:t xml:space="preserve">3. Documentation (Weight: 50%)</w:t>
            </w:r>
          </w:p>
        </w:tc>
        <w:tc>
          <w:tcPr>
            <w:tcW w:type="dxa" w:w="400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b/>
                <w:bCs/>
                <w:sz w:val="22"/>
                <w:szCs w:val="22"/>
              </w:rPr>
              <w:t xml:space="preserve">Mark Awarded: 65%</w:t>
            </w:r>
          </w:p>
        </w:tc>
      </w:tr>
    </w:tbl>
    <w:p>
      <w:pPr>
        <w:spacing w:after="0" w:before="80"/>
      </w:pPr>
    </w:p>
    <w:p>
      <w:pPr>
        <w:spacing w:after="120" w:line="276"/>
      </w:pPr>
      <w:r>
        <w:rPr>
          <w:rFonts w:ascii="Arial" w:cs="Arial" w:eastAsia="Arial" w:hAnsi="Arial"/>
          <w:b/>
          <w:bCs/>
          <w:sz w:val="22"/>
          <w:szCs w:val="22"/>
        </w:rPr>
        <w:t xml:space="preserve">Comments</w:t>
      </w:r>
    </w:p>
    <w:p>
      <w:pPr>
        <w:spacing w:after="120" w:line="276"/>
      </w:pPr>
      <w:r>
        <w:rPr>
          <w:rFonts w:ascii="Arial" w:cs="Arial" w:eastAsia="Arial" w:hAnsi="Arial"/>
          <w:sz w:val="22"/>
          <w:szCs w:val="22"/>
        </w:rPr>
        <w:t xml:space="preserve">Very detailed documentation across 61 pages covering architecture, APIs, data design, technology selection, security, and testing. The level of detail in API endpoint tables, database schemas, and trigger definitions is substantial.</w:t>
      </w:r>
    </w:p>
    <w:p>
      <w:pPr>
        <w:spacing w:after="120" w:line="276"/>
      </w:pPr>
      <w:r>
        <w:rPr>
          <w:rFonts w:ascii="Arial" w:cs="Arial" w:eastAsia="Arial" w:hAnsi="Arial"/>
          <w:sz w:val="22"/>
          <w:szCs w:val="22"/>
        </w:rPr>
        <w:t xml:space="preserve">Technology evaluations are thorough, with multiple alternatives considered and rejected for each major choice. The iteration from Flask/SQLite to FastAPI/PostgreSQL is well documented with clear rationale.</w:t>
      </w:r>
    </w:p>
    <w:p>
      <w:pPr>
        <w:spacing w:after="120" w:line="276"/>
      </w:pPr>
      <w:r>
        <w:rPr>
          <w:rFonts w:ascii="Arial" w:cs="Arial" w:eastAsia="Arial" w:hAnsi="Arial"/>
          <w:sz w:val="22"/>
          <w:szCs w:val="22"/>
        </w:rPr>
        <w:t xml:space="preserve">However, several features documented in detail were not implemented in the running prototype. Hash chaining is described with trigger SQL and test results but does not work. The Kubernetes platform is documented as operational but was not demonstrated. This gap between documentation and reality is a concern and affects the credibility of the test evidence sections.</w:t>
      </w:r>
    </w:p>
    <w:p>
      <w:pPr>
        <w:spacing w:after="120" w:line="276"/>
      </w:pPr>
      <w:r>
        <w:rPr>
          <w:rFonts w:ascii="Arial" w:cs="Arial" w:eastAsia="Arial" w:hAnsi="Arial"/>
          <w:sz w:val="22"/>
          <w:szCs w:val="22"/>
        </w:rPr>
        <w:t xml:space="preserve">The prose style is very uniform across all 61 pages. The AI provenance section declares use of Copilot and Claude for code components but does not address AI use in report writing. The consistency of the writing suggests significant AI assistance with documentation drafting.</w:t>
      </w:r>
    </w:p>
    <w:p>
      <w:pPr>
        <w:spacing w:after="120" w:line="276"/>
      </w:pPr>
      <w:r>
        <w:rPr>
          <w:rFonts w:ascii="Arial" w:cs="Arial" w:eastAsia="Arial" w:hAnsi="Arial"/>
          <w:sz w:val="22"/>
          <w:szCs w:val="22"/>
        </w:rPr>
        <w:t xml:space="preserve">No academic references are included. The non-functional requirements table includes measured values, which is a strength where those measurements are genuine.</w:t>
      </w:r>
    </w:p>
    <w:p>
      <w:pPr>
        <w:spacing w:after="0" w:before="3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0"/>
        <w:gridCol w:w="4006"/>
      </w:tblGrid>
      <w:tr>
        <w:tc>
          <w:tcPr>
            <w:tcW w:type="dxa" w:w="5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vAlign w:val="center"/>
          </w:tcPr>
          <w:p>
            <w:pPr>
              <w:spacing w:after="40"/>
              <w:jc w:val="left"/>
            </w:pPr>
            <w:r>
              <w:rPr>
                <w:rFonts w:ascii="Arial" w:cs="Arial" w:eastAsia="Arial" w:hAnsi="Arial"/>
                <w:b/>
                <w:bCs/>
                <w:sz w:val="22"/>
                <w:szCs w:val="22"/>
              </w:rPr>
              <w:t xml:space="preserve">4. Platform Design (Weight: 25%)</w:t>
            </w:r>
          </w:p>
        </w:tc>
        <w:tc>
          <w:tcPr>
            <w:tcW w:type="dxa" w:w="4006"/>
            <w:tcBorders>
              <w:top w:val="single" w:color="000000" w:sz="1"/>
              <w:left w:val="single" w:color="000000" w:sz="1"/>
              <w:bottom w:val="single" w:color="000000" w:sz="1"/>
              <w:right w:val="single" w:color="000000" w:sz="1"/>
            </w:tcBorders>
            <w:tcMar>
              <w:top w:type="dxa" w:w="80"/>
              <w:left w:type="dxa" w:w="120"/>
              <w:bottom w:type="dxa" w:w="80"/>
              <w:right w:type="dxa" w:w="120"/>
            </w:tcMar>
            <w:vAlign w:val="top"/>
          </w:tcPr>
          <w:p>
            <w:pPr>
              <w:spacing w:after="40"/>
              <w:jc w:val="left"/>
            </w:pPr>
            <w:r>
              <w:rPr>
                <w:rFonts w:ascii="Arial" w:cs="Arial" w:eastAsia="Arial" w:hAnsi="Arial"/>
                <w:b/>
                <w:bCs/>
                <w:sz w:val="22"/>
                <w:szCs w:val="22"/>
              </w:rPr>
              <w:t xml:space="preserve">Mark Awarded: 65%</w:t>
            </w:r>
          </w:p>
        </w:tc>
      </w:tr>
    </w:tbl>
    <w:p>
      <w:pPr>
        <w:spacing w:after="0" w:before="80"/>
      </w:pPr>
    </w:p>
    <w:p>
      <w:pPr>
        <w:spacing w:after="120" w:line="276"/>
      </w:pPr>
      <w:r>
        <w:rPr>
          <w:rFonts w:ascii="Arial" w:cs="Arial" w:eastAsia="Arial" w:hAnsi="Arial"/>
          <w:b/>
          <w:bCs/>
          <w:sz w:val="22"/>
          <w:szCs w:val="22"/>
        </w:rPr>
        <w:t xml:space="preserve">Comments</w:t>
      </w:r>
    </w:p>
    <w:p>
      <w:pPr>
        <w:spacing w:after="120" w:line="276"/>
      </w:pPr>
      <w:r>
        <w:rPr>
          <w:rFonts w:ascii="Arial" w:cs="Arial" w:eastAsia="Arial" w:hAnsi="Arial"/>
          <w:sz w:val="22"/>
          <w:szCs w:val="22"/>
        </w:rPr>
        <w:t xml:space="preserve">Platform report covers all required areas: source control, repo structure, pipeline design, testing, deployment, environments, and migration strategy. The testing documentation is detailed, describing a 12-test database suite, a 9-phase deployment pipeline, and an API test suite.</w:t>
      </w:r>
    </w:p>
    <w:p>
      <w:pPr>
        <w:spacing w:after="120" w:line="276"/>
      </w:pPr>
      <w:r>
        <w:rPr>
          <w:rFonts w:ascii="Arial" w:cs="Arial" w:eastAsia="Arial" w:hAnsi="Arial"/>
          <w:sz w:val="22"/>
          <w:szCs w:val="22"/>
        </w:rPr>
        <w:t xml:space="preserve">Source control practices are good: branch protection, conventional commits, PR workflow with reviewer approval.</w:t>
      </w:r>
    </w:p>
    <w:p>
      <w:pPr>
        <w:spacing w:after="120" w:line="276"/>
      </w:pPr>
      <w:r>
        <w:rPr>
          <w:rFonts w:ascii="Arial" w:cs="Arial" w:eastAsia="Arial" w:hAnsi="Arial"/>
          <w:sz w:val="22"/>
          <w:szCs w:val="22"/>
        </w:rPr>
        <w:t xml:space="preserve">The Kubernetes platform design with Kind, Calico network policies, three namespaces, and automated provisioning scripts shows ambition and genuine effort. Luke has been working on this and testing with multiple users.</w:t>
      </w:r>
    </w:p>
    <w:p>
      <w:pPr>
        <w:spacing w:after="120" w:line="276"/>
      </w:pPr>
      <w:r>
        <w:rPr>
          <w:rFonts w:ascii="Arial" w:cs="Arial" w:eastAsia="Arial" w:hAnsi="Arial"/>
          <w:sz w:val="22"/>
          <w:szCs w:val="22"/>
        </w:rPr>
        <w:t xml:space="preserve">The main gap is that the Kubernetes deployment was not demonstrated as operational at interim. The working prototype ran on Docker Compose. The marks reflect what was shown rather than what was documented.</w:t>
      </w:r>
    </w:p>
    <w:p>
      <w:pPr>
        <w:spacing w:after="120" w:line="276"/>
      </w:pPr>
      <w:r>
        <w:rPr>
          <w:rFonts w:ascii="Arial" w:cs="Arial" w:eastAsia="Arial" w:hAnsi="Arial"/>
          <w:sz w:val="22"/>
          <w:szCs w:val="22"/>
        </w:rPr>
        <w:t xml:space="preserve">Migration strategy evaluates three cloud targets with a useful comparison table. Stage 2 should focus on getting Kubernetes running end-to-end and building the CI/CD pipeline.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2026-03-06T14:35:03.438Z</dcterms:created>
  <dcterms:modified xsi:type="dcterms:W3CDTF">2026-03-06T14:35:03.440Z</dcterms:modified>
</cp:coreProperties>
</file>

<file path=docProps/custom.xml><?xml version="1.0" encoding="utf-8"?>
<Properties xmlns="http://schemas.openxmlformats.org/officeDocument/2006/custom-properties" xmlns:vt="http://schemas.openxmlformats.org/officeDocument/2006/docPropsVTypes"/>
</file>