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001B3" w:rsidRDefault="00000000">
      <w:pPr>
        <w:pBdr>
          <w:top w:val="nil"/>
          <w:left w:val="nil"/>
          <w:bottom w:val="nil"/>
          <w:right w:val="nil"/>
          <w:between w:val="nil"/>
        </w:pBdr>
        <w:ind w:firstLine="0"/>
      </w:pPr>
      <w:r>
        <w:t>Jeremy Okyere</w:t>
      </w:r>
    </w:p>
    <w:p w14:paraId="00000002" w14:textId="77777777" w:rsidR="009001B3" w:rsidRDefault="00000000">
      <w:pPr>
        <w:pBdr>
          <w:top w:val="nil"/>
          <w:left w:val="nil"/>
          <w:bottom w:val="nil"/>
          <w:right w:val="nil"/>
          <w:between w:val="nil"/>
        </w:pBdr>
        <w:ind w:firstLine="0"/>
      </w:pPr>
      <w:r>
        <w:t>Sridhar Ganti</w:t>
      </w:r>
    </w:p>
    <w:p w14:paraId="00000003" w14:textId="77777777" w:rsidR="009001B3" w:rsidRDefault="00000000">
      <w:pPr>
        <w:pBdr>
          <w:top w:val="nil"/>
          <w:left w:val="nil"/>
          <w:bottom w:val="nil"/>
          <w:right w:val="nil"/>
          <w:between w:val="nil"/>
        </w:pBdr>
        <w:ind w:firstLine="0"/>
      </w:pPr>
      <w:r>
        <w:t>AI in Applications - ITAI 2372</w:t>
      </w:r>
    </w:p>
    <w:p w14:paraId="00000004" w14:textId="77777777" w:rsidR="009001B3" w:rsidRDefault="00000000">
      <w:pPr>
        <w:pBdr>
          <w:top w:val="nil"/>
          <w:left w:val="nil"/>
          <w:bottom w:val="nil"/>
          <w:right w:val="nil"/>
          <w:between w:val="nil"/>
        </w:pBdr>
        <w:ind w:firstLine="0"/>
      </w:pPr>
      <w:r>
        <w:t>22 July 2026</w:t>
      </w:r>
    </w:p>
    <w:p w14:paraId="00000005" w14:textId="77777777" w:rsidR="009001B3" w:rsidRDefault="00000000">
      <w:pPr>
        <w:pStyle w:val="Title"/>
        <w:pBdr>
          <w:top w:val="nil"/>
          <w:left w:val="nil"/>
          <w:bottom w:val="nil"/>
          <w:right w:val="nil"/>
          <w:between w:val="nil"/>
        </w:pBdr>
      </w:pPr>
      <w:bookmarkStart w:id="0" w:name="_bllyran0q013" w:colFirst="0" w:colLast="0"/>
      <w:bookmarkEnd w:id="0"/>
      <w:r>
        <w:t>Case Study: Leveraging AGI in Finance</w:t>
      </w:r>
    </w:p>
    <w:p w14:paraId="00000006" w14:textId="77777777" w:rsidR="009001B3" w:rsidRDefault="00000000">
      <w:pPr>
        <w:pStyle w:val="Heading1"/>
      </w:pPr>
      <w:bookmarkStart w:id="1" w:name="_45biu4bk5rve" w:colFirst="0" w:colLast="0"/>
      <w:bookmarkEnd w:id="1"/>
      <w:r>
        <w:t>Introduction</w:t>
      </w:r>
    </w:p>
    <w:p w14:paraId="00000007" w14:textId="25EC30D3" w:rsidR="009001B3" w:rsidRDefault="006035C7">
      <w:pPr>
        <w:pBdr>
          <w:top w:val="nil"/>
          <w:left w:val="nil"/>
          <w:bottom w:val="nil"/>
          <w:right w:val="nil"/>
          <w:between w:val="nil"/>
        </w:pBdr>
        <w:spacing w:line="360" w:lineRule="auto"/>
        <w:ind w:firstLine="0"/>
        <w:jc w:val="both"/>
      </w:pPr>
      <w:r>
        <w:tab/>
      </w:r>
      <w:r w:rsidR="00000000">
        <w:t>Artificial General Intelligence (AGI) is where AI matches human level intelligence in any activity or task. However, the term is controversial because people can’t agree on what human-level intelligence is. According to Standard University Human-Centered Artificial HAI, “There are also safety and ethical concerns debated by AI experts.” Unlike traditional AI, which is limited to narrow tasks, AGI can understand context, reason across multiple domains, and adapt to new information in real time. AGI is the very goal of AI right now. The next is artificial super intelligence. AGI is highly relevant to the finance industry because it has the potential to transform how institutions analyze risk, make decisions, and serve customers. Since AGI can understand context, reason across multiple domains, and adapt to new information in real time as mentioned before, this allows financial institutions to manage complex market conditions more effectively, detect fraud with greater accuracy, automate regulatory compliance, and deliver deeply personalized financial advice. AGI’s ability to integrate economic data, behavioral patterns, and global events enables more precise forecasting and portfolio optimization, giving firms a significant competitive advantage. As the industry becomes increasingly digital and data‑driven, AGI offers a path toward smarter, faster, and more resilient financial systems while also introducing new ethical, regulatory, and security challenges that institutions must navigate responsibly.</w:t>
      </w:r>
    </w:p>
    <w:p w14:paraId="00000008" w14:textId="77777777" w:rsidR="009001B3" w:rsidRDefault="00000000">
      <w:pPr>
        <w:pStyle w:val="Heading1"/>
      </w:pPr>
      <w:bookmarkStart w:id="2" w:name="_qt41bmq5ikay" w:colFirst="0" w:colLast="0"/>
      <w:bookmarkEnd w:id="2"/>
      <w:r>
        <w:br w:type="page"/>
      </w:r>
    </w:p>
    <w:p w14:paraId="00000009" w14:textId="77777777" w:rsidR="009001B3" w:rsidRDefault="00000000">
      <w:pPr>
        <w:pStyle w:val="Heading1"/>
      </w:pPr>
      <w:bookmarkStart w:id="3" w:name="_osy5qtxob828" w:colFirst="0" w:colLast="0"/>
      <w:bookmarkEnd w:id="3"/>
      <w:r>
        <w:lastRenderedPageBreak/>
        <w:t>Industry Analysis</w:t>
      </w:r>
    </w:p>
    <w:p w14:paraId="0000000A" w14:textId="77777777" w:rsidR="009001B3" w:rsidRDefault="00000000">
      <w:pPr>
        <w:spacing w:line="360" w:lineRule="auto"/>
        <w:jc w:val="both"/>
      </w:pPr>
      <w:r>
        <w:t xml:space="preserve">The finance industry is an economic aspect where organizations and businesses provide financial services to customers in retail and commercial sectors. The industry contains banks, investment companies, insurance companies, real estate firms, and more. This industry has lots of institutions and firms. The economy is supported financially by providing loans, mortgages, and insurance. If the finance industry is in good standing, so is the economy and if the finance industry is in bad standing, so is the economy. The finance industry is the most vital part of the economy. </w:t>
      </w:r>
    </w:p>
    <w:p w14:paraId="0000000B" w14:textId="77777777" w:rsidR="009001B3" w:rsidRDefault="00000000">
      <w:pPr>
        <w:spacing w:line="360" w:lineRule="auto"/>
        <w:jc w:val="both"/>
      </w:pPr>
      <w:r>
        <w:t>The financial sector includes brokers, banks, and money markets, all of which provide essential services that keep everyday economic activity running smoothly. It supplies businesses with loans to grow, offers mortgages to homebuyers, and provides insurance that protects individuals, companies, and their property. It also supports retirement savings and employs millions of workers. A large share of the sector’s income comes from lending and mortgage activity. These assets become more valuable when interest rates fall. Lower rates encourage more investment and large-scale projects, which boosts financial-sector performance and contributes to broader economic growth.</w:t>
      </w:r>
    </w:p>
    <w:p w14:paraId="0000000C" w14:textId="77777777" w:rsidR="009001B3" w:rsidRDefault="00000000">
      <w:pPr>
        <w:spacing w:line="360" w:lineRule="auto"/>
        <w:jc w:val="both"/>
      </w:pPr>
      <w:r>
        <w:t xml:space="preserve">Companies that are very familiar in the finance industry include JPMorgan Chase, Wells Fargo, Bank of America, and Citigroup. Fortune 500 companies like them highly influence the landscape, but there are other companies and other disciplines like insurers (American International Group, Chubb, etc) that contribute too. Economists correlate how well the economy is to how well the finance landscape because. Consumers struggle when financial companies struggle because just like I mentioned before, the economy is supported financially by providing loans, mortgages, and insurance. The financial companies are the providers. When the financial companies’ functions are limited, small businesses and real estate are restricted. </w:t>
      </w:r>
    </w:p>
    <w:p w14:paraId="0000000D" w14:textId="77777777" w:rsidR="009001B3" w:rsidRDefault="00000000">
      <w:pPr>
        <w:spacing w:line="360" w:lineRule="auto"/>
        <w:jc w:val="both"/>
      </w:pPr>
      <w:r>
        <w:t>Financial stocks are common holdings in many investment portfolios. Companies in this sector typically pay dividends and are evaluated based on the overall stability of their financial position. During the 2007-2008 financial crisis, the industry suffered severe losses, with firms like Lehman Brothers collapsing into bankruptcy. Since then, increased government oversight and major restructuring have helped strengthen the financial sector significantly. Things that benefit the finance industry are moderately rising interest rates, reducing regulation, and lower consumer debt levels. Things that don’t benefit the finance industry are rapid interest rate increases, yield curve flattening, and more legislation.</w:t>
      </w:r>
    </w:p>
    <w:p w14:paraId="0000000E" w14:textId="77777777" w:rsidR="009001B3" w:rsidRDefault="00000000">
      <w:pPr>
        <w:spacing w:before="240" w:after="240" w:line="360" w:lineRule="auto"/>
        <w:jc w:val="both"/>
      </w:pPr>
      <w:r>
        <w:lastRenderedPageBreak/>
        <w:t>The financial sector offers a vast array of career opportunities, with common roles including analysts, planners, traders, and actuaries. Financial institutions are essential in delivering services to both individuals and businesses. Major types include central banks, retail and commercial banks, online banks, credit unions, savings and loan associations, investment banks and firms, brokerage houses, insurance providers, and mortgage companies.</w:t>
      </w:r>
    </w:p>
    <w:p w14:paraId="0000000F" w14:textId="77777777" w:rsidR="009001B3" w:rsidRDefault="00000000">
      <w:pPr>
        <w:spacing w:before="240" w:after="240" w:line="360" w:lineRule="auto"/>
        <w:jc w:val="both"/>
      </w:pPr>
      <w:r>
        <w:t>This sector encompasses diverse areas such as consumer and corporate finance, insurance, and real estate. It plays a crucial role in maintaining economic stability and fostering growth by offering key services like loans, mortgages, and insurance. A robust financial sector reflects a healthy economy, while weakness in this area often signals economic decline. Within the sector, industries such as banking, investment, insurance, and real estate drive economic activity. External influences like interest rates and government regulations can significantly affect performance, shaping outcomes from consumer credit to corporate investment.</w:t>
      </w:r>
    </w:p>
    <w:p w14:paraId="00000010" w14:textId="77777777" w:rsidR="009001B3" w:rsidRDefault="00000000">
      <w:pPr>
        <w:spacing w:before="240" w:after="240" w:line="360" w:lineRule="auto"/>
        <w:jc w:val="both"/>
      </w:pPr>
      <w:r>
        <w:t>Investment opportunities include financial stocks and exchange-traded funds (ETFs). Both can yield growth, but they carry inherent risks, as seen during financial crises. To make sound investment decisions, it’s important for investors to track interest rate trends and regulatory developments. Ultimately, the financial sector’s condition serves as a mirror of the broader economy’s health.</w:t>
      </w:r>
    </w:p>
    <w:p w14:paraId="00000011" w14:textId="77777777" w:rsidR="009001B3" w:rsidRDefault="00000000">
      <w:pPr>
        <w:spacing w:before="240" w:after="240" w:line="360" w:lineRule="auto"/>
        <w:jc w:val="both"/>
      </w:pPr>
      <w:r>
        <w:t>As of right now, the U.S. financial system remains fundamentally stable, supported by strong liquidity positions, healthy credit performance, and robust consumer spending. According to the Federal Reserve’s 2026 Financial Stability Report, asset valuations across equities and real estate remain elevated, reflecting strong market confidence but also increasing vulnerability to sudden corrections. Commercial lending is expected to be a major profit driver for financial institutions, with demand rising among businesses seeking capital for expansion and modernization.</w:t>
      </w:r>
    </w:p>
    <w:p w14:paraId="00000012" w14:textId="77777777" w:rsidR="009001B3" w:rsidRDefault="00000000">
      <w:pPr>
        <w:spacing w:before="240" w:after="240" w:line="360" w:lineRule="auto"/>
        <w:jc w:val="both"/>
      </w:pPr>
      <w:r>
        <w:t>AI has become one of the most transformative forces in finance. Banks and investment firms are accelerating AI adoption for risk modeling, fraud detection, customer service, and operational efficiency. However, most institutions are still in early phases of enterprise‑scale deployment, constrained by fragmented data systems and legacy infrastructure. Meanwhile, the payments ecosystem is undergoing major disruption due to the emergence of regulated U.S. stablecoins, which are reshaping deposit flows and challenging traditional payment rails.</w:t>
      </w:r>
    </w:p>
    <w:p w14:paraId="00000013" w14:textId="77777777" w:rsidR="009001B3" w:rsidRDefault="00000000">
      <w:pPr>
        <w:spacing w:line="360" w:lineRule="auto"/>
        <w:jc w:val="both"/>
      </w:pPr>
      <w:r>
        <w:t>The finance industry, while resilient, continues to face a range of complex challenges that influence its stability and growth. These issues span economic conditions, technological transformation, and workforce adaptation. Fluctuating interest rates remain one of the most significant short‑term risks for financial institutions. Shifts in rates directly affect lending demand, profit margins, consumer credit performance, and overall business strategy. To remain competitive, institutions must refine forecasting models and adjust operations to align with changing monetary policies.</w:t>
      </w:r>
    </w:p>
    <w:p w14:paraId="00000014" w14:textId="77777777" w:rsidR="009001B3" w:rsidRDefault="00000000">
      <w:pPr>
        <w:spacing w:line="360" w:lineRule="auto"/>
        <w:jc w:val="both"/>
      </w:pPr>
      <w:r>
        <w:t xml:space="preserve">Persistent vulnerabilities exist in high equity valuations, inflated house‑price‑to‑rent ratios, and refinancing pressures within commercial real estate. These factors heighten the potential for market corrections that could ripple across the broader financial system, challenging both investors and lenders. Many financial institutions still rely on fragmented or outdated data systems. Weak data governance and limited automation hinder advanced analytics and slow the adoption of artificial intelligence. This technological gap reduces efficiency and restricts innovation across the sector. </w:t>
      </w:r>
    </w:p>
    <w:p w14:paraId="00000015" w14:textId="77777777" w:rsidR="009001B3" w:rsidRDefault="00000000">
      <w:pPr>
        <w:spacing w:line="360" w:lineRule="auto"/>
        <w:jc w:val="both"/>
      </w:pPr>
      <w:r>
        <w:t xml:space="preserve">Fintech companies, digital‑only banks, and private credit providers are expanding rapidly, offering faster and more flexible services. Traditional institutions must accelerate innovation and modernization efforts to preserve market share and maintain customer trust in an increasingly digital environment. Cyber threats are becoming more sophisticated, particularly with the rise of AI‑enabled fraud and data breaches. Financial institutions must invest in robust, technology‑driven defenses to protect sensitive information and comply with evolving regulatory standards. Short‑term funding markets and nonbank financial entities continue to present vulnerabilities. The rapid growth of private credit markets introduces new systemic risks that regulators are monitoring closely to prevent instability. The industry faces a shortage of professionals skilled in artificial intelligence, data analytics, and risk management. To remain competitive, institutions must prioritize workforce development, continuous learning, and talent retention strategies that align with digital transformation goals. </w:t>
      </w:r>
    </w:p>
    <w:p w14:paraId="00000016" w14:textId="77777777" w:rsidR="009001B3" w:rsidRDefault="00000000">
      <w:pPr>
        <w:pStyle w:val="Heading1"/>
        <w:spacing w:line="360" w:lineRule="auto"/>
      </w:pPr>
      <w:bookmarkStart w:id="4" w:name="_xvpp9y8adttq" w:colFirst="0" w:colLast="0"/>
      <w:bookmarkEnd w:id="4"/>
      <w:r>
        <w:t>AGI Application Proposal</w:t>
      </w:r>
    </w:p>
    <w:p w14:paraId="00000017" w14:textId="77777777" w:rsidR="009001B3" w:rsidRDefault="00000000">
      <w:pPr>
        <w:pStyle w:val="Heading1"/>
        <w:spacing w:line="360" w:lineRule="auto"/>
        <w:ind w:firstLine="720"/>
      </w:pPr>
      <w:bookmarkStart w:id="5" w:name="_epqtu44mbyar" w:colFirst="0" w:colLast="0"/>
      <w:bookmarkEnd w:id="5"/>
      <w:r>
        <w:t xml:space="preserve">AGI has the potential to fundamentally reshape the finance industry by enabling systems that can understand context, reason across domains, and make decisions with human‑level adaptability. Unlike narrow AI, AGI can integrate complex financial data, economic conditions, regulatory frameworks, and behavioral patterns to deliver insights and actions that exceed current technological capabilities. Below are the most impactful use cases, along with the benefits and risks associated with AGI adoption in finance. </w:t>
      </w:r>
    </w:p>
    <w:p w14:paraId="00000018" w14:textId="77777777" w:rsidR="009001B3" w:rsidRDefault="00000000">
      <w:pPr>
        <w:spacing w:line="360" w:lineRule="auto"/>
        <w:jc w:val="both"/>
      </w:pPr>
      <w:r>
        <w:t>AGI could analyze global markets, geopolitical events, consumer behavior, and institutional data simultaneously to produce highly accurate risk assessments. Unlike traditional models, AGI can adapt to new patterns without retraining, allowing institutions to anticipate market disruptions, credit risks, and liquidity challenges with unprecedented precision. AGI‑powered advisors could deliver fully personalized financial guidance by understanding a client’s goals, psychology, spending habits, and long‑term financial health. These systems could autonomously adjust investment strategies in real time, ensuring optimal outcomes even during volatile market conditions. AGI systems could identify fraud by recognizing subtle behavioral anomalies across millions of transactions. They could also autonomously respond to cyber threats, patch vulnerabilities, and coordinate defense strategies across an institution’s entire digital infrastructure. AGI could interpret complex regulatory documents, monitor institutional activities, and ensure compliance automatically. It could also simulate the impact of new regulations on financial markets, helping institutions prepare for policy changes more effectively. Finally, AGI could interpret complex regulatory documents, monitor institutional activities, and ensure compliance automatically. It could also simulate the impact of new regulations on financial markets, helping institutions prepare for policy changes more effectively.</w:t>
      </w:r>
    </w:p>
    <w:p w14:paraId="00000019" w14:textId="77777777" w:rsidR="009001B3" w:rsidRDefault="00000000">
      <w:pPr>
        <w:spacing w:line="360" w:lineRule="auto"/>
        <w:ind w:firstLine="0"/>
        <w:jc w:val="both"/>
      </w:pPr>
      <w:r>
        <w:t>Benefits of AGI Adoption</w:t>
      </w:r>
    </w:p>
    <w:p w14:paraId="0000001A" w14:textId="77777777" w:rsidR="009001B3" w:rsidRDefault="00000000">
      <w:pPr>
        <w:spacing w:line="360" w:lineRule="auto"/>
        <w:jc w:val="both"/>
      </w:pPr>
      <w:r>
        <w:t>AGI can streamline operations across risk management, compliance, customer service, and investment management. This reduces operational costs and frees human workers to focus on strategic decision‑making. With its ability to process vast amounts of data and reason contextually, AGI can significantly improve forecasting accuracy, reduce human error, and enhance the quality of financial decisions. AGI‑driven systems can deliver personalized financial solutions, faster service, and more intuitive digital interactions, improving customer satisfaction and retention. AGI’s adaptive learning capabilities allow it to detect emerging fraud patterns and cyber threats more effectively than traditional systems, strengthening institutional security. Institutions that adopt AGI early will gain a competitive edge through faster innovation, better risk management, and more efficient operations.</w:t>
      </w:r>
    </w:p>
    <w:p w14:paraId="0000001B" w14:textId="77777777" w:rsidR="009001B3" w:rsidRDefault="00000000">
      <w:pPr>
        <w:spacing w:line="360" w:lineRule="auto"/>
        <w:ind w:firstLine="0"/>
        <w:jc w:val="both"/>
      </w:pPr>
      <w:r>
        <w:t>Risks and Ethical Considerations</w:t>
      </w:r>
    </w:p>
    <w:p w14:paraId="0000001C" w14:textId="77777777" w:rsidR="009001B3" w:rsidRDefault="00000000">
      <w:pPr>
        <w:spacing w:line="360" w:lineRule="auto"/>
        <w:ind w:firstLine="0"/>
        <w:jc w:val="both"/>
      </w:pPr>
      <w:r>
        <w:tab/>
        <w:t xml:space="preserve">AGI requires access to extensive financial and personal data. Without strong safeguards, this increases the risk of data breaches, misuse, or unauthorized surveillance. If AGI systems learn from biased historical data, they may perpetuate or amplify unfair lending, hiring, or investment practices. Continuous auditing and ethical oversight are essential. Excessive dependence on AGI could reduce human oversight, making institutions vulnerable if systems fail, behave unpredictably, or encounter novel situations beyond their training. AGI may automate roles traditionally held by analysts, advisors, and compliance officers. Institutions must invest in reskilling programs to support workforce transitions. AGI’s autonomous decision‑making raises questions about accountability, liability, and compliance. Regulators may struggle to keep pace with AGI’s capabilities, creating uncertainty for institutions. </w:t>
      </w:r>
    </w:p>
    <w:p w14:paraId="0000001D" w14:textId="77777777" w:rsidR="009001B3" w:rsidRDefault="009001B3">
      <w:pPr>
        <w:spacing w:line="360" w:lineRule="auto"/>
        <w:ind w:firstLine="0"/>
        <w:jc w:val="both"/>
      </w:pPr>
    </w:p>
    <w:p w14:paraId="0000001E" w14:textId="77777777" w:rsidR="009001B3" w:rsidRDefault="00000000">
      <w:pPr>
        <w:pStyle w:val="Heading1"/>
        <w:pBdr>
          <w:top w:val="nil"/>
          <w:left w:val="nil"/>
          <w:bottom w:val="nil"/>
          <w:right w:val="nil"/>
          <w:between w:val="nil"/>
        </w:pBdr>
        <w:spacing w:line="360" w:lineRule="auto"/>
      </w:pPr>
      <w:bookmarkStart w:id="6" w:name="_yfbxp7di8iko" w:colFirst="0" w:colLast="0"/>
      <w:bookmarkEnd w:id="6"/>
      <w:r>
        <w:t>CONCLUSION</w:t>
      </w:r>
    </w:p>
    <w:p w14:paraId="0000001F" w14:textId="77777777" w:rsidR="009001B3" w:rsidRDefault="00000000">
      <w:pPr>
        <w:spacing w:before="240" w:after="240" w:line="360" w:lineRule="auto"/>
      </w:pPr>
      <w:r>
        <w:t>AGI represents a transformative opportunity for the finance industry, offering the potential to revolutionize how institutions manage risk, serve clients, and operate globally. By integrating reasoning, adaptability, and contextual understanding, AGI can enhance decision‑making, improve efficiency, and strengthen financial stability. Its applications from autonomous advisory systems to intelligent fraud detection demonstrate how deeply AGI could reshape the industry’s core functions.</w:t>
      </w:r>
    </w:p>
    <w:p w14:paraId="00000020" w14:textId="77777777" w:rsidR="009001B3" w:rsidRDefault="00000000">
      <w:pPr>
        <w:spacing w:before="240" w:after="240" w:line="360" w:lineRule="auto"/>
      </w:pPr>
      <w:r>
        <w:t>However, the path forward requires careful balance. The same capabilities that make AGI powerful also introduce ethical, regulatory, and operational challenges. Institutions must ensure transparency, fairness, and accountability in every AGI‑driven process. Responsible adoption supported by strong data governance, human oversight, and ethical frameworks will be essential to harness AGI’s benefits while mitigating its risks.</w:t>
      </w:r>
    </w:p>
    <w:p w14:paraId="00000021" w14:textId="77777777" w:rsidR="009001B3" w:rsidRDefault="00000000">
      <w:pPr>
        <w:spacing w:before="240" w:after="240" w:line="360" w:lineRule="auto"/>
      </w:pPr>
      <w:r>
        <w:t>Ultimately, AGI’s success in finance will depend not only on technological advancement but also on the industry’s commitment to trust, integrity, and innovation. Those that embrace AGI responsibly will lead the next era of intelligent finance where data, ethics, and human insight converge to build a more resilient and equitable financial system.</w:t>
      </w:r>
    </w:p>
    <w:p w14:paraId="00000022" w14:textId="77777777" w:rsidR="009001B3" w:rsidRDefault="009001B3">
      <w:pPr>
        <w:pBdr>
          <w:top w:val="nil"/>
          <w:left w:val="nil"/>
          <w:bottom w:val="nil"/>
          <w:right w:val="nil"/>
          <w:between w:val="nil"/>
        </w:pBdr>
      </w:pPr>
    </w:p>
    <w:p w14:paraId="00000023" w14:textId="77777777" w:rsidR="009001B3" w:rsidRDefault="009001B3">
      <w:pPr>
        <w:pBdr>
          <w:top w:val="nil"/>
          <w:left w:val="nil"/>
          <w:bottom w:val="nil"/>
          <w:right w:val="nil"/>
          <w:between w:val="nil"/>
        </w:pBdr>
      </w:pPr>
    </w:p>
    <w:p w14:paraId="00000024" w14:textId="77777777" w:rsidR="009001B3" w:rsidRDefault="009001B3">
      <w:pPr>
        <w:pBdr>
          <w:top w:val="nil"/>
          <w:left w:val="nil"/>
          <w:bottom w:val="nil"/>
          <w:right w:val="nil"/>
          <w:between w:val="nil"/>
        </w:pBdr>
      </w:pPr>
    </w:p>
    <w:p w14:paraId="00000025" w14:textId="77777777" w:rsidR="009001B3" w:rsidRDefault="009001B3">
      <w:pPr>
        <w:pBdr>
          <w:top w:val="nil"/>
          <w:left w:val="nil"/>
          <w:bottom w:val="nil"/>
          <w:right w:val="nil"/>
          <w:between w:val="nil"/>
        </w:pBdr>
        <w:ind w:firstLine="0"/>
      </w:pPr>
    </w:p>
    <w:p w14:paraId="00000026" w14:textId="77777777" w:rsidR="009001B3" w:rsidRDefault="00000000">
      <w:pPr>
        <w:widowControl w:val="0"/>
        <w:pBdr>
          <w:top w:val="nil"/>
          <w:left w:val="nil"/>
          <w:bottom w:val="nil"/>
          <w:right w:val="nil"/>
          <w:between w:val="nil"/>
        </w:pBdr>
        <w:ind w:firstLine="0"/>
        <w:jc w:val="center"/>
      </w:pPr>
      <w:r>
        <w:t>Works Cited</w:t>
      </w:r>
    </w:p>
    <w:p w14:paraId="00000027" w14:textId="77777777" w:rsidR="009001B3" w:rsidRDefault="00000000">
      <w:pPr>
        <w:widowControl w:val="0"/>
        <w:ind w:firstLine="0"/>
      </w:pPr>
      <w:r>
        <w:t>Federal Reserve Board. Financial Stability Report (May 2026).</w:t>
      </w:r>
    </w:p>
    <w:p w14:paraId="00000028" w14:textId="77777777" w:rsidR="009001B3" w:rsidRDefault="00000000">
      <w:pPr>
        <w:widowControl w:val="0"/>
        <w:ind w:firstLine="0"/>
      </w:pPr>
      <w:r>
        <w:t>Morgan Stanley. Financial Services Industry Trends 2026.</w:t>
      </w:r>
    </w:p>
    <w:p w14:paraId="00000029" w14:textId="77777777" w:rsidR="009001B3" w:rsidRDefault="00000000">
      <w:pPr>
        <w:widowControl w:val="0"/>
        <w:ind w:firstLine="0"/>
      </w:pPr>
      <w:r>
        <w:t>Deloitte. 2026 Banking and Capital Markets Outlook.</w:t>
      </w:r>
    </w:p>
    <w:p w14:paraId="0000002A" w14:textId="77777777" w:rsidR="009001B3" w:rsidRDefault="00000000">
      <w:pPr>
        <w:widowControl w:val="0"/>
        <w:ind w:firstLine="0"/>
      </w:pPr>
      <w:r>
        <w:t>Strata Decision Technology. 2026 CFO Outlook for Financial Institutions.</w:t>
      </w:r>
    </w:p>
    <w:p w14:paraId="0000002B" w14:textId="77777777" w:rsidR="009001B3" w:rsidRDefault="00000000">
      <w:pPr>
        <w:widowControl w:val="0"/>
        <w:ind w:firstLine="0"/>
      </w:pPr>
      <w:r>
        <w:t>McKinsey &amp; Company. Global Banking Annual Review 2025–2026.</w:t>
      </w:r>
    </w:p>
    <w:p w14:paraId="0000002C" w14:textId="77777777" w:rsidR="009001B3" w:rsidRDefault="00000000">
      <w:pPr>
        <w:widowControl w:val="0"/>
        <w:ind w:firstLine="0"/>
      </w:pPr>
      <w:r>
        <w:t>PwC. Financial Services Outlook 2026.</w:t>
      </w:r>
    </w:p>
    <w:p w14:paraId="0000002D" w14:textId="77777777" w:rsidR="009001B3" w:rsidRDefault="00000000">
      <w:pPr>
        <w:widowControl w:val="0"/>
        <w:ind w:firstLine="0"/>
      </w:pPr>
      <w:r>
        <w:t>World Economic Forum. AI Governance and Ethics in Financial Services (2025).</w:t>
      </w:r>
    </w:p>
    <w:p w14:paraId="0000002E" w14:textId="77777777" w:rsidR="009001B3" w:rsidRDefault="00000000">
      <w:pPr>
        <w:widowControl w:val="0"/>
        <w:ind w:firstLine="0"/>
      </w:pPr>
      <w:r>
        <w:t>Harvard Business Review. The Promise and Peril of Artificial General Intelligence in Business (2026).</w:t>
      </w:r>
    </w:p>
    <w:p w14:paraId="0000002F" w14:textId="77777777" w:rsidR="009001B3" w:rsidRDefault="00000000">
      <w:pPr>
        <w:widowControl w:val="0"/>
        <w:ind w:firstLine="0"/>
      </w:pPr>
      <w:r>
        <w:t>OECD. AI Principles and Policy Framework for Financial Systems (2025).</w:t>
      </w:r>
    </w:p>
    <w:p w14:paraId="00000030" w14:textId="77777777" w:rsidR="009001B3" w:rsidRDefault="00000000">
      <w:pPr>
        <w:widowControl w:val="0"/>
        <w:spacing w:before="240" w:after="240"/>
        <w:ind w:firstLine="0"/>
        <w:rPr>
          <w:color w:val="1155CC"/>
          <w:u w:val="single"/>
        </w:rPr>
      </w:pPr>
      <w:r>
        <w:t>Stanford Institute for Human‑Centered Artificial Intelligence. What Is AGI (Artificial General Intelligence)? Stanford University, 2026.</w:t>
      </w:r>
    </w:p>
    <w:p w14:paraId="00000031" w14:textId="77777777" w:rsidR="009001B3" w:rsidRDefault="00000000">
      <w:pPr>
        <w:widowControl w:val="0"/>
        <w:spacing w:before="240" w:after="240"/>
        <w:ind w:firstLine="0"/>
        <w:rPr>
          <w:color w:val="1155CC"/>
          <w:u w:val="single"/>
        </w:rPr>
      </w:pPr>
      <w:r>
        <w:t>IBM. Artificial General Intelligence. IBM Think, 2026.</w:t>
      </w:r>
    </w:p>
    <w:p w14:paraId="00000032" w14:textId="77777777" w:rsidR="009001B3" w:rsidRDefault="00000000">
      <w:pPr>
        <w:widowControl w:val="0"/>
        <w:spacing w:before="240" w:after="240"/>
        <w:ind w:firstLine="0"/>
      </w:pPr>
      <w:r>
        <w:t>GeeksforGeeks. What Is Artificial General Intelligence (AGI)? GeeksforGeeks, 2026.</w:t>
      </w:r>
    </w:p>
    <w:p w14:paraId="00000033" w14:textId="77777777" w:rsidR="009001B3" w:rsidRDefault="00000000">
      <w:pPr>
        <w:pBdr>
          <w:top w:val="nil"/>
          <w:left w:val="nil"/>
          <w:bottom w:val="nil"/>
          <w:right w:val="nil"/>
          <w:between w:val="nil"/>
        </w:pBdr>
        <w:ind w:left="720" w:hanging="720"/>
      </w:pPr>
      <w:r>
        <w:t xml:space="preserve">  </w:t>
      </w:r>
    </w:p>
    <w:sectPr w:rsidR="009001B3">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677F7" w14:textId="77777777" w:rsidR="00D02BD3" w:rsidRDefault="00D02BD3">
      <w:pPr>
        <w:spacing w:line="240" w:lineRule="auto"/>
      </w:pPr>
      <w:r>
        <w:separator/>
      </w:r>
    </w:p>
  </w:endnote>
  <w:endnote w:type="continuationSeparator" w:id="0">
    <w:p w14:paraId="4A2B0621" w14:textId="77777777" w:rsidR="00D02BD3" w:rsidRDefault="00D02B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embedRegular r:id="rId1" w:fontKey="{5AC82B48-3B57-472F-AD30-62F5AD29C54C}"/>
    <w:embedBold r:id="rId2" w:fontKey="{7E75D3C6-E83E-4B79-9028-9B536670408D}"/>
    <w:embedItalic r:id="rId3" w:fontKey="{7D3E23F1-E45A-4CE2-9B45-B812135B28C4}"/>
  </w:font>
  <w:font w:name="Calibri">
    <w:panose1 w:val="020F0502020204030204"/>
    <w:charset w:val="00"/>
    <w:family w:val="swiss"/>
    <w:pitch w:val="variable"/>
    <w:sig w:usb0="E4002EFF" w:usb1="C000247B" w:usb2="00000009" w:usb3="00000000" w:csb0="000001FF" w:csb1="00000000"/>
    <w:embedRegular r:id="rId4" w:fontKey="{355C1DBE-7FC7-4A94-8D25-10D570B5DF07}"/>
  </w:font>
  <w:font w:name="Cambria">
    <w:panose1 w:val="02040503050406030204"/>
    <w:charset w:val="00"/>
    <w:family w:val="roman"/>
    <w:pitch w:val="variable"/>
    <w:sig w:usb0="E00006FF" w:usb1="420024FF" w:usb2="02000000" w:usb3="00000000" w:csb0="0000019F" w:csb1="00000000"/>
    <w:embedRegular r:id="rId5" w:fontKey="{B5330774-CADF-42BE-9CC1-427643B8AE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3B94" w14:textId="77777777" w:rsidR="00D02BD3" w:rsidRDefault="00D02BD3">
      <w:pPr>
        <w:spacing w:line="240" w:lineRule="auto"/>
      </w:pPr>
      <w:r>
        <w:separator/>
      </w:r>
    </w:p>
  </w:footnote>
  <w:footnote w:type="continuationSeparator" w:id="0">
    <w:p w14:paraId="21A94516" w14:textId="77777777" w:rsidR="00D02BD3" w:rsidRDefault="00D02B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77777777" w:rsidR="009001B3" w:rsidRDefault="009001B3">
    <w:pPr>
      <w:pBdr>
        <w:top w:val="nil"/>
        <w:left w:val="nil"/>
        <w:bottom w:val="nil"/>
        <w:right w:val="nil"/>
        <w:between w:val="nil"/>
      </w:pBdr>
    </w:pPr>
  </w:p>
  <w:p w14:paraId="00000035" w14:textId="5E77FB29" w:rsidR="009001B3" w:rsidRDefault="00000000">
    <w:pPr>
      <w:pBdr>
        <w:top w:val="nil"/>
        <w:left w:val="nil"/>
        <w:bottom w:val="nil"/>
        <w:right w:val="nil"/>
        <w:between w:val="nil"/>
      </w:pBdr>
      <w:jc w:val="right"/>
    </w:pPr>
    <w:r>
      <w:fldChar w:fldCharType="begin"/>
    </w:r>
    <w:r>
      <w:instrText>PAGE</w:instrText>
    </w:r>
    <w:r>
      <w:fldChar w:fldCharType="separate"/>
    </w:r>
    <w:r w:rsidR="006035C7">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B3"/>
    <w:rsid w:val="00203289"/>
    <w:rsid w:val="006035C7"/>
    <w:rsid w:val="009001B3"/>
    <w:rsid w:val="00D02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19277"/>
  <w15:docId w15:val="{69B2AC8B-C361-473D-9CBC-DEA5D5010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2281</Words>
  <Characters>13002</Characters>
  <Application>Microsoft Office Word</Application>
  <DocSecurity>0</DocSecurity>
  <Lines>108</Lines>
  <Paragraphs>30</Paragraphs>
  <ScaleCrop>false</ScaleCrop>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Jeremy Okyere</cp:lastModifiedBy>
  <cp:revision>2</cp:revision>
  <dcterms:created xsi:type="dcterms:W3CDTF">2026-07-30T01:51:00Z</dcterms:created>
  <dcterms:modified xsi:type="dcterms:W3CDTF">2026-07-30T01:52:00Z</dcterms:modified>
</cp:coreProperties>
</file>