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WenT Developer Handover Guide</w:t>
      </w:r>
    </w:p>
    <w:p>
      <w:r>
        <w:t>Source revision 0.1.0  |  28 September 2026</w:t>
      </w:r>
    </w:p>
    <w:p>
      <w:r>
        <w:t>This guide gives the next developer a reproducible setup, a map of the code and data, and the current verification boundary. Use the private Git repository at the v0.1.0-demo tag together with the seven numbered Word documents in this package. The Test Record contains the exact execution results and open acceptance cases.</w:t>
      </w:r>
    </w:p>
    <w:tbl>
      <w:tblPr>
        <w:tblStyle w:val="TableGrid"/>
        <w:tblW w:type="auto" w:w="0"/>
        <w:tblLayout w:type="fixed"/>
        <w:tblLook w:firstColumn="1" w:firstRow="1" w:lastColumn="0" w:lastRow="0" w:noHBand="0" w:noVBand="1" w:val="04A0"/>
      </w:tblPr>
      <w:tblGrid>
        <w:gridCol w:w="4896"/>
        <w:gridCol w:w="4896"/>
      </w:tblGrid>
      <w:tr>
        <w:tc>
          <w:tcPr>
            <w:tcW w:type="dxa" w:w="2448"/>
            <w:shd w:fill="173D61"/>
          </w:tcPr>
          <w:p>
            <w:r>
              <w:rPr>
                <w:b/>
                <w:color w:val="FFFFFF"/>
                <w:sz w:val="17"/>
              </w:rPr>
              <w:t>Field</w:t>
            </w:r>
          </w:p>
        </w:tc>
        <w:tc>
          <w:tcPr>
            <w:tcW w:type="dxa" w:w="6768"/>
            <w:shd w:fill="173D61"/>
          </w:tcPr>
          <w:p>
            <w:r>
              <w:rPr>
                <w:b/>
                <w:color w:val="FFFFFF"/>
                <w:sz w:val="17"/>
              </w:rPr>
              <w:t>Value</w:t>
            </w:r>
          </w:p>
        </w:tc>
      </w:tr>
      <w:tr>
        <w:tc>
          <w:tcPr>
            <w:tcW w:type="dxa" w:w="2448"/>
            <w:vAlign w:val="center"/>
          </w:tcPr>
          <w:p>
            <w:r>
              <w:rPr>
                <w:sz w:val="17"/>
              </w:rPr>
              <w:t>Audience</w:t>
            </w:r>
          </w:p>
        </w:tc>
        <w:tc>
          <w:tcPr>
            <w:tcW w:type="dxa" w:w="6768"/>
            <w:vAlign w:val="center"/>
          </w:tcPr>
          <w:p>
            <w:r>
              <w:rPr>
                <w:sz w:val="17"/>
              </w:rPr>
              <w:t>Receiving developer and controlled demo operator</w:t>
            </w:r>
          </w:p>
        </w:tc>
      </w:tr>
      <w:tr>
        <w:tc>
          <w:tcPr>
            <w:tcW w:type="dxa" w:w="2448"/>
            <w:vAlign w:val="center"/>
            <w:shd w:fill="EDF3F8"/>
          </w:tcPr>
          <w:p>
            <w:r>
              <w:rPr>
                <w:sz w:val="17"/>
              </w:rPr>
              <w:t>Source baseline</w:t>
            </w:r>
          </w:p>
        </w:tc>
        <w:tc>
          <w:tcPr>
            <w:tcW w:type="dxa" w:w="6768"/>
            <w:vAlign w:val="center"/>
            <w:shd w:fill="EDF3F8"/>
          </w:tcPr>
          <w:p>
            <w:r>
              <w:rPr>
                <w:sz w:val="17"/>
              </w:rPr>
              <w:t>WenT 0.1.0; private repository tag v0.1.0-demo</w:t>
            </w:r>
          </w:p>
        </w:tc>
      </w:tr>
      <w:tr>
        <w:tc>
          <w:tcPr>
            <w:tcW w:type="dxa" w:w="2448"/>
            <w:vAlign w:val="center"/>
          </w:tcPr>
          <w:p>
            <w:r>
              <w:rPr>
                <w:sz w:val="17"/>
              </w:rPr>
              <w:t>Core contract</w:t>
            </w:r>
          </w:p>
        </w:tc>
        <w:tc>
          <w:tcPr>
            <w:tcW w:type="dxa" w:w="6768"/>
            <w:vAlign w:val="center"/>
          </w:tcPr>
          <w:p>
            <w:r>
              <w:rPr>
                <w:sz w:val="17"/>
              </w:rPr>
              <w:t>Independent browser Realtime and backend Offline paths; Primary is review display only</w:t>
            </w:r>
          </w:p>
        </w:tc>
      </w:tr>
      <w:tr>
        <w:tc>
          <w:tcPr>
            <w:tcW w:type="dxa" w:w="2448"/>
            <w:vAlign w:val="center"/>
            <w:shd w:fill="EDF3F8"/>
          </w:tcPr>
          <w:p>
            <w:r>
              <w:rPr>
                <w:sz w:val="17"/>
              </w:rPr>
              <w:t>Current decision</w:t>
            </w:r>
          </w:p>
        </w:tc>
        <w:tc>
          <w:tcPr>
            <w:tcW w:type="dxa" w:w="6768"/>
            <w:vAlign w:val="center"/>
            <w:shd w:fill="EDF3F8"/>
          </w:tcPr>
          <w:p>
            <w:r>
              <w:rPr>
                <w:sz w:val="17"/>
              </w:rPr>
              <w:t>Developer handover after private push and clone check; public multi-user service remains outside this baseline</w:t>
            </w:r>
          </w:p>
        </w:tc>
      </w:tr>
    </w:tbl>
    <w:p/>
    <w:p>
      <w:pPr>
        <w:pStyle w:val="Heading1"/>
      </w:pPr>
      <w:r>
        <w:t>1 Installation from a new computer</w:t>
      </w:r>
    </w:p>
    <w:p>
      <w:r>
        <w:t>Install Git, Python 3.12, and Node.js 24 LTS using the official links in README.md. On Windows, verify git --version, py -3.12 --version, node --version, and npm --version in a new PowerShell window. The repository owner grants access to the private GitHub repository and supplies its clone URL. Use a new checkout; do not copy an old .venv or node_modules folder.</w:t>
      </w:r>
    </w:p>
    <w:tbl>
      <w:tblPr>
        <w:tblStyle w:val="TableGrid"/>
        <w:tblW w:type="auto" w:w="0"/>
        <w:tblLayout w:type="fixed"/>
        <w:tblLook w:firstColumn="1" w:firstRow="1" w:lastColumn="0" w:lastRow="0" w:noHBand="0" w:noVBand="1" w:val="04A0"/>
      </w:tblPr>
      <w:tblGrid>
        <w:gridCol w:w="3264"/>
        <w:gridCol w:w="3264"/>
        <w:gridCol w:w="3264"/>
      </w:tblGrid>
      <w:tr>
        <w:tc>
          <w:tcPr>
            <w:tcW w:type="dxa" w:w="1296"/>
            <w:shd w:fill="173D61"/>
          </w:tcPr>
          <w:p>
            <w:r>
              <w:rPr>
                <w:b/>
                <w:color w:val="FFFFFF"/>
                <w:sz w:val="17"/>
              </w:rPr>
              <w:t>Terminal</w:t>
            </w:r>
          </w:p>
        </w:tc>
        <w:tc>
          <w:tcPr>
            <w:tcW w:type="dxa" w:w="5328"/>
            <w:shd w:fill="173D61"/>
          </w:tcPr>
          <w:p>
            <w:r>
              <w:rPr>
                <w:b/>
                <w:color w:val="FFFFFF"/>
                <w:sz w:val="17"/>
              </w:rPr>
              <w:t>Command sequence</w:t>
            </w:r>
          </w:p>
        </w:tc>
        <w:tc>
          <w:tcPr>
            <w:tcW w:type="dxa" w:w="2592"/>
            <w:shd w:fill="173D61"/>
          </w:tcPr>
          <w:p>
            <w:r>
              <w:rPr>
                <w:b/>
                <w:color w:val="FFFFFF"/>
                <w:sz w:val="17"/>
              </w:rPr>
              <w:t>Expected result</w:t>
            </w:r>
          </w:p>
        </w:tc>
      </w:tr>
      <w:tr>
        <w:tc>
          <w:tcPr>
            <w:tcW w:type="dxa" w:w="1296"/>
            <w:vAlign w:val="center"/>
          </w:tcPr>
          <w:p>
            <w:r>
              <w:rPr>
                <w:sz w:val="17"/>
              </w:rPr>
              <w:t>Backend</w:t>
            </w:r>
          </w:p>
        </w:tc>
        <w:tc>
          <w:tcPr>
            <w:tcW w:type="dxa" w:w="5328"/>
            <w:vAlign w:val="center"/>
          </w:tcPr>
          <w:p>
            <w:r>
              <w:rPr>
                <w:sz w:val="17"/>
              </w:rPr>
              <w:t>cd backend; py -3.12 -m venv .venv; .\.venv\Scripts\python.exe -m pip install -e ".[test]"; .\.venv\Scripts\python.exe -m pytest; .\.venv\Scripts\python.exe -m uvicorn app.main:app --reload --host 127.0.0.1 --port 8000</w:t>
            </w:r>
          </w:p>
        </w:tc>
        <w:tc>
          <w:tcPr>
            <w:tcW w:type="dxa" w:w="2592"/>
            <w:vAlign w:val="center"/>
          </w:tcPr>
          <w:p>
            <w:r>
              <w:rPr>
                <w:sz w:val="17"/>
              </w:rPr>
              <w:t>45 tests pass; GET http://127.0.0.1:8000/api/health reports ok=true and decoder available</w:t>
            </w:r>
          </w:p>
        </w:tc>
      </w:tr>
      <w:tr>
        <w:tc>
          <w:tcPr>
            <w:tcW w:type="dxa" w:w="1296"/>
            <w:vAlign w:val="center"/>
            <w:shd w:fill="EDF3F8"/>
          </w:tcPr>
          <w:p>
            <w:r>
              <w:rPr>
                <w:sz w:val="17"/>
              </w:rPr>
              <w:t>Frontend</w:t>
            </w:r>
          </w:p>
        </w:tc>
        <w:tc>
          <w:tcPr>
            <w:tcW w:type="dxa" w:w="5328"/>
            <w:vAlign w:val="center"/>
            <w:shd w:fill="EDF3F8"/>
          </w:tcPr>
          <w:p>
            <w:r>
              <w:rPr>
                <w:sz w:val="17"/>
              </w:rPr>
              <w:t>cd frontend; npm ci; npm test; npm run build; npm run dev</w:t>
            </w:r>
          </w:p>
        </w:tc>
        <w:tc>
          <w:tcPr>
            <w:tcW w:type="dxa" w:w="2592"/>
            <w:vAlign w:val="center"/>
            <w:shd w:fill="EDF3F8"/>
          </w:tcPr>
          <w:p>
            <w:r>
              <w:rPr>
                <w:sz w:val="17"/>
              </w:rPr>
              <w:t>Five test groups pass; Vite build completes; http://127.0.0.1:5174/ opens</w:t>
            </w:r>
          </w:p>
        </w:tc>
      </w:tr>
      <w:tr>
        <w:tc>
          <w:tcPr>
            <w:tcW w:type="dxa" w:w="1296"/>
            <w:vAlign w:val="center"/>
          </w:tcPr>
          <w:p>
            <w:r>
              <w:rPr>
                <w:sz w:val="17"/>
              </w:rPr>
              <w:t>Combined route</w:t>
            </w:r>
          </w:p>
        </w:tc>
        <w:tc>
          <w:tcPr>
            <w:tcW w:type="dxa" w:w="5328"/>
            <w:vAlign w:val="center"/>
          </w:tcPr>
          <w:p>
            <w:r>
              <w:rPr>
                <w:sz w:val="17"/>
              </w:rPr>
              <w:t>GET http://127.0.0.1:5174/api/health</w:t>
            </w:r>
          </w:p>
        </w:tc>
        <w:tc>
          <w:tcPr>
            <w:tcW w:type="dxa" w:w="2592"/>
            <w:vAlign w:val="center"/>
          </w:tcPr>
          <w:p>
            <w:r>
              <w:rPr>
                <w:sz w:val="17"/>
              </w:rPr>
              <w:t>Vite forwards to FastAPI; ok=true</w:t>
            </w:r>
          </w:p>
        </w:tc>
      </w:tr>
    </w:tbl>
    <w:p/>
    <w:p>
      <w:pPr>
        <w:pStyle w:val="Heading1"/>
        <w:pageBreakBefore/>
      </w:pPr>
      <w:r>
        <w:t>2 Repository map and measurement design</w:t>
      </w:r>
    </w:p>
    <w:tbl>
      <w:tblPr>
        <w:tblStyle w:val="TableGrid"/>
        <w:tblW w:type="auto" w:w="0"/>
        <w:tblLayout w:type="fixed"/>
        <w:tblLook w:firstColumn="1" w:firstRow="1" w:lastColumn="0" w:lastRow="0" w:noHBand="0" w:noVBand="1" w:val="04A0"/>
      </w:tblPr>
      <w:tblGrid>
        <w:gridCol w:w="4896"/>
        <w:gridCol w:w="4896"/>
      </w:tblGrid>
      <w:tr>
        <w:tc>
          <w:tcPr>
            <w:tcW w:type="dxa" w:w="3456"/>
            <w:shd w:fill="173D61"/>
          </w:tcPr>
          <w:p>
            <w:r>
              <w:rPr>
                <w:b/>
                <w:color w:val="FFFFFF"/>
                <w:sz w:val="17"/>
              </w:rPr>
              <w:t>Path</w:t>
            </w:r>
          </w:p>
        </w:tc>
        <w:tc>
          <w:tcPr>
            <w:tcW w:type="dxa" w:w="5760"/>
            <w:shd w:fill="173D61"/>
          </w:tcPr>
          <w:p>
            <w:r>
              <w:rPr>
                <w:b/>
                <w:color w:val="FFFFFF"/>
                <w:sz w:val="17"/>
              </w:rPr>
              <w:t>Owner of behavior</w:t>
            </w:r>
          </w:p>
        </w:tc>
      </w:tr>
      <w:tr>
        <w:tc>
          <w:tcPr>
            <w:tcW w:type="dxa" w:w="3456"/>
            <w:vAlign w:val="center"/>
          </w:tcPr>
          <w:p>
            <w:r>
              <w:rPr>
                <w:sz w:val="17"/>
              </w:rPr>
              <w:t>frontend/src/components and App.vue</w:t>
            </w:r>
          </w:p>
        </w:tc>
        <w:tc>
          <w:tcPr>
            <w:tcW w:type="dxa" w:w="5760"/>
            <w:vAlign w:val="center"/>
          </w:tcPr>
          <w:p>
            <w:r>
              <w:rPr>
                <w:sz w:val="17"/>
              </w:rPr>
              <w:t>Guide, Position, Measure, Records, dialogs, review chart, evidence and exports</w:t>
            </w:r>
          </w:p>
        </w:tc>
      </w:tr>
      <w:tr>
        <w:tc>
          <w:tcPr>
            <w:tcW w:type="dxa" w:w="3456"/>
            <w:vAlign w:val="center"/>
            <w:shd w:fill="EDF3F8"/>
          </w:tcPr>
          <w:p>
            <w:r>
              <w:rPr>
                <w:sz w:val="17"/>
              </w:rPr>
              <w:t>frontend/src/features/camera and protocol</w:t>
            </w:r>
          </w:p>
        </w:tc>
        <w:tc>
          <w:tcPr>
            <w:tcW w:type="dxa" w:w="5760"/>
            <w:vAlign w:val="center"/>
            <w:shd w:fill="EDF3F8"/>
          </w:tcPr>
          <w:p>
            <w:r>
              <w:rPr>
                <w:sz w:val="17"/>
              </w:rPr>
              <w:t>Camera lifecycle, ROI, six timed phases and 37-second capture</w:t>
            </w:r>
          </w:p>
        </w:tc>
      </w:tr>
      <w:tr>
        <w:tc>
          <w:tcPr>
            <w:tcW w:type="dxa" w:w="3456"/>
            <w:vAlign w:val="center"/>
          </w:tcPr>
          <w:p>
            <w:r>
              <w:rPr>
                <w:sz w:val="17"/>
              </w:rPr>
              <w:t>frontend/src/features/realtime</w:t>
            </w:r>
          </w:p>
        </w:tc>
        <w:tc>
          <w:tcPr>
            <w:tcW w:type="dxa" w:w="5760"/>
            <w:vAlign w:val="center"/>
          </w:tcPr>
          <w:p>
            <w:r>
              <w:rPr>
                <w:sz w:val="17"/>
              </w:rPr>
              <w:t>Browser signal extraction, filtering and formal Realtime metrics</w:t>
            </w:r>
          </w:p>
        </w:tc>
      </w:tr>
      <w:tr>
        <w:tc>
          <w:tcPr>
            <w:tcW w:type="dxa" w:w="3456"/>
            <w:vAlign w:val="center"/>
            <w:shd w:fill="EDF3F8"/>
          </w:tcPr>
          <w:p>
            <w:r>
              <w:rPr>
                <w:sz w:val="17"/>
              </w:rPr>
              <w:t>frontend/src/features/records and offline</w:t>
            </w:r>
          </w:p>
        </w:tc>
        <w:tc>
          <w:tcPr>
            <w:tcW w:type="dxa" w:w="5760"/>
            <w:vAlign w:val="center"/>
            <w:shd w:fill="EDF3F8"/>
          </w:tcPr>
          <w:p>
            <w:r>
              <w:rPr>
                <w:sz w:val="17"/>
              </w:rPr>
              <w:t>IndexedDB records, export and FastAPI calls</w:t>
            </w:r>
          </w:p>
        </w:tc>
      </w:tr>
      <w:tr>
        <w:tc>
          <w:tcPr>
            <w:tcW w:type="dxa" w:w="3456"/>
            <w:vAlign w:val="center"/>
          </w:tcPr>
          <w:p>
            <w:r>
              <w:rPr>
                <w:sz w:val="17"/>
              </w:rPr>
              <w:t>backend/app/analysis</w:t>
            </w:r>
          </w:p>
        </w:tc>
        <w:tc>
          <w:tcPr>
            <w:tcW w:type="dxa" w:w="5760"/>
            <w:vAlign w:val="center"/>
          </w:tcPr>
          <w:p>
            <w:r>
              <w:rPr>
                <w:sz w:val="17"/>
              </w:rPr>
              <w:t>Independent decoding, ROI, Offline signal, metrics, alignment, evidence and export</w:t>
            </w:r>
          </w:p>
        </w:tc>
      </w:tr>
      <w:tr>
        <w:tc>
          <w:tcPr>
            <w:tcW w:type="dxa" w:w="3456"/>
            <w:vAlign w:val="center"/>
            <w:shd w:fill="EDF3F8"/>
          </w:tcPr>
          <w:p>
            <w:r>
              <w:rPr>
                <w:sz w:val="17"/>
              </w:rPr>
              <w:t>backend/app/api and storage.py</w:t>
            </w:r>
          </w:p>
        </w:tc>
        <w:tc>
          <w:tcPr>
            <w:tcW w:type="dxa" w:w="5760"/>
            <w:vAlign w:val="center"/>
            <w:shd w:fill="EDF3F8"/>
          </w:tcPr>
          <w:p>
            <w:r>
              <w:rPr>
                <w:sz w:val="17"/>
              </w:rPr>
              <w:t>API endpoints, SQLite metadata and local video/evidence files</w:t>
            </w:r>
          </w:p>
        </w:tc>
      </w:tr>
    </w:tbl>
    <w:p/>
    <w:p>
      <w:r>
        <w:t>The browser saves the original WebM, normalized went-roi-v2 contract, phase windows and Realtime result in IndexedDB. The backend receives a copy only when Offline analysis is requested, stores it under WENT_DATA_DIR, and computes an independent result. Alignment estimates lag and direction for visual comparison. Primary does not replace RR, Vt or Vc from either formal path. The SDD gives the UI, SD and MD identifiers and diagrams.</w:t>
      </w:r>
    </w:p>
    <w:p>
      <w:pPr>
        <w:pStyle w:val="Heading1"/>
      </w:pPr>
      <w:r>
        <w:t>3 Data and API</w:t>
      </w:r>
    </w:p>
    <w:tbl>
      <w:tblPr>
        <w:tblStyle w:val="TableGrid"/>
        <w:tblW w:type="auto" w:w="0"/>
        <w:tblLayout w:type="fixed"/>
        <w:tblLook w:firstColumn="1" w:firstRow="1" w:lastColumn="0" w:lastRow="0" w:noHBand="0" w:noVBand="1" w:val="04A0"/>
      </w:tblPr>
      <w:tblGrid>
        <w:gridCol w:w="4896"/>
        <w:gridCol w:w="4896"/>
      </w:tblGrid>
      <w:tr>
        <w:tc>
          <w:tcPr>
            <w:tcW w:type="dxa" w:w="2160"/>
            <w:shd w:fill="173D61"/>
          </w:tcPr>
          <w:p>
            <w:r>
              <w:rPr>
                <w:b/>
                <w:color w:val="FFFFFF"/>
                <w:sz w:val="17"/>
              </w:rPr>
              <w:t>Data</w:t>
            </w:r>
          </w:p>
        </w:tc>
        <w:tc>
          <w:tcPr>
            <w:tcW w:type="dxa" w:w="7056"/>
            <w:shd w:fill="173D61"/>
          </w:tcPr>
          <w:p>
            <w:r>
              <w:rPr>
                <w:b/>
                <w:color w:val="FFFFFF"/>
                <w:sz w:val="17"/>
              </w:rPr>
              <w:t>Location and lifecycle</w:t>
            </w:r>
          </w:p>
        </w:tc>
      </w:tr>
      <w:tr>
        <w:tc>
          <w:tcPr>
            <w:tcW w:type="dxa" w:w="2160"/>
            <w:vAlign w:val="center"/>
          </w:tcPr>
          <w:p>
            <w:r>
              <w:rPr>
                <w:sz w:val="17"/>
              </w:rPr>
              <w:t>Local record</w:t>
            </w:r>
          </w:p>
        </w:tc>
        <w:tc>
          <w:tcPr>
            <w:tcW w:type="dxa" w:w="7056"/>
            <w:vAlign w:val="center"/>
          </w:tcPr>
          <w:p>
            <w:r>
              <w:rPr>
                <w:sz w:val="17"/>
              </w:rPr>
              <w:t>Current browser profile IndexedDB; not synchronized across devices</w:t>
            </w:r>
          </w:p>
        </w:tc>
      </w:tr>
      <w:tr>
        <w:tc>
          <w:tcPr>
            <w:tcW w:type="dxa" w:w="2160"/>
            <w:vAlign w:val="center"/>
            <w:shd w:fill="EDF3F8"/>
          </w:tcPr>
          <w:p>
            <w:r>
              <w:rPr>
                <w:sz w:val="17"/>
              </w:rPr>
              <w:t>Analysis metadata</w:t>
            </w:r>
          </w:p>
        </w:tc>
        <w:tc>
          <w:tcPr>
            <w:tcW w:type="dxa" w:w="7056"/>
            <w:vAlign w:val="center"/>
            <w:shd w:fill="EDF3F8"/>
          </w:tcPr>
          <w:p>
            <w:r>
              <w:rPr>
                <w:sz w:val="17"/>
              </w:rPr>
              <w:t>WENT_DATA_DIR/analyses.sqlite3, default backend/data/</w:t>
            </w:r>
          </w:p>
        </w:tc>
      </w:tr>
      <w:tr>
        <w:tc>
          <w:tcPr>
            <w:tcW w:type="dxa" w:w="2160"/>
            <w:vAlign w:val="center"/>
          </w:tcPr>
          <w:p>
            <w:r>
              <w:rPr>
                <w:sz w:val="17"/>
              </w:rPr>
              <w:t>Video and evidence</w:t>
            </w:r>
          </w:p>
        </w:tc>
        <w:tc>
          <w:tcPr>
            <w:tcW w:type="dxa" w:w="7056"/>
            <w:vAlign w:val="center"/>
          </w:tcPr>
          <w:p>
            <w:r>
              <w:rPr>
                <w:sz w:val="17"/>
              </w:rPr>
              <w:t>WENT_DATA_DIR/videos and evidence; backend DELETE removes selected analysis files</w:t>
            </w:r>
          </w:p>
        </w:tc>
      </w:tr>
      <w:tr>
        <w:tc>
          <w:tcPr>
            <w:tcW w:type="dxa" w:w="2160"/>
            <w:vAlign w:val="center"/>
            <w:shd w:fill="EDF3F8"/>
          </w:tcPr>
          <w:p>
            <w:r>
              <w:rPr>
                <w:sz w:val="17"/>
              </w:rPr>
              <w:t>Export</w:t>
            </w:r>
          </w:p>
        </w:tc>
        <w:tc>
          <w:tcPr>
            <w:tcW w:type="dxa" w:w="7056"/>
            <w:vAlign w:val="center"/>
            <w:shd w:fill="EDF3F8"/>
          </w:tcPr>
          <w:p>
            <w:r>
              <w:rPr>
                <w:sz w:val="17"/>
              </w:rPr>
              <w:t>Backend ZIP contains analysis.json, analysis.csv, waveform.svg and README.txt</w:t>
            </w:r>
          </w:p>
        </w:tc>
      </w:tr>
    </w:tbl>
    <w:p/>
    <w:p>
      <w:r>
        <w:t>The active endpoints are GET /api/health; POST /api/analyze; POST /api/analyses/{id}/reanalyze; GET /api/analyses/{id}; GET /api/analyses/{id}/video; GET /api/analyses/{id}/evidence/{evidence_id}; GET /api/analyses/{id}/export; POST /api/exports/comparison; and DELETE /api/analyses/{id}. The repository README and SDD describe the request and storage boundaries. Do not assume browser deletion succeeded on the backend when the network request failed.</w:t>
      </w:r>
    </w:p>
    <w:p>
      <w:pPr>
        <w:pStyle w:val="Heading1"/>
        <w:pageBreakBefore/>
      </w:pPr>
      <w:r>
        <w:t>4 Verification and known gaps</w:t>
      </w:r>
    </w:p>
    <w:tbl>
      <w:tblPr>
        <w:tblStyle w:val="TableGrid"/>
        <w:tblW w:type="auto" w:w="0"/>
        <w:tblLayout w:type="fixed"/>
        <w:tblLook w:firstColumn="1" w:firstRow="1" w:lastColumn="0" w:lastRow="0" w:noHBand="0" w:noVBand="1" w:val="04A0"/>
      </w:tblPr>
      <w:tblGrid>
        <w:gridCol w:w="4896"/>
        <w:gridCol w:w="4896"/>
      </w:tblGrid>
      <w:tr>
        <w:tc>
          <w:tcPr>
            <w:tcW w:type="dxa" w:w="3024"/>
            <w:shd w:fill="173D61"/>
          </w:tcPr>
          <w:p>
            <w:r>
              <w:rPr>
                <w:b/>
                <w:color w:val="FFFFFF"/>
                <w:sz w:val="17"/>
              </w:rPr>
              <w:t>Check</w:t>
            </w:r>
          </w:p>
        </w:tc>
        <w:tc>
          <w:tcPr>
            <w:tcW w:type="dxa" w:w="6192"/>
            <w:shd w:fill="173D61"/>
          </w:tcPr>
          <w:p>
            <w:r>
              <w:rPr>
                <w:b/>
                <w:color w:val="FFFFFF"/>
                <w:sz w:val="17"/>
              </w:rPr>
              <w:t>Current evidence</w:t>
            </w:r>
          </w:p>
        </w:tc>
      </w:tr>
      <w:tr>
        <w:tc>
          <w:tcPr>
            <w:tcW w:type="dxa" w:w="3024"/>
            <w:vAlign w:val="center"/>
          </w:tcPr>
          <w:p>
            <w:r>
              <w:rPr>
                <w:sz w:val="17"/>
              </w:rPr>
              <w:t>Clean backend installation</w:t>
            </w:r>
          </w:p>
        </w:tc>
        <w:tc>
          <w:tcPr>
            <w:tcW w:type="dxa" w:w="6192"/>
            <w:vAlign w:val="center"/>
          </w:tcPr>
          <w:p>
            <w:r>
              <w:rPr>
                <w:sz w:val="17"/>
              </w:rPr>
              <w:t>Python 3.12.14 new venv; pip install -e .[test] succeeds; 45 tests pass with one dependency warning</w:t>
            </w:r>
          </w:p>
        </w:tc>
      </w:tr>
      <w:tr>
        <w:tc>
          <w:tcPr>
            <w:tcW w:type="dxa" w:w="3024"/>
            <w:vAlign w:val="center"/>
            <w:shd w:fill="EDF3F8"/>
          </w:tcPr>
          <w:p>
            <w:r>
              <w:rPr>
                <w:sz w:val="17"/>
              </w:rPr>
              <w:t>Clean frontend installation</w:t>
            </w:r>
          </w:p>
        </w:tc>
        <w:tc>
          <w:tcPr>
            <w:tcW w:type="dxa" w:w="6192"/>
            <w:vAlign w:val="center"/>
            <w:shd w:fill="EDF3F8"/>
          </w:tcPr>
          <w:p>
            <w:r>
              <w:rPr>
                <w:sz w:val="17"/>
              </w:rPr>
              <w:t>npm ci installs 38 packages; five test groups pass; Vite 8.2.2 builds 1,580 modules</w:t>
            </w:r>
          </w:p>
        </w:tc>
      </w:tr>
      <w:tr>
        <w:tc>
          <w:tcPr>
            <w:tcW w:type="dxa" w:w="3024"/>
            <w:vAlign w:val="center"/>
          </w:tcPr>
          <w:p>
            <w:r>
              <w:rPr>
                <w:sz w:val="17"/>
              </w:rPr>
              <w:t>Live local routes</w:t>
            </w:r>
          </w:p>
        </w:tc>
        <w:tc>
          <w:tcPr>
            <w:tcW w:type="dxa" w:w="6192"/>
            <w:vAlign w:val="center"/>
          </w:tcPr>
          <w:p>
            <w:r>
              <w:rPr>
                <w:sz w:val="17"/>
              </w:rPr>
              <w:t>Frontend / returns HTTP 200; Vite /api/health proxy returns ok=true and decoder available</w:t>
            </w:r>
          </w:p>
        </w:tc>
      </w:tr>
      <w:tr>
        <w:tc>
          <w:tcPr>
            <w:tcW w:type="dxa" w:w="3024"/>
            <w:vAlign w:val="center"/>
            <w:shd w:fill="EDF3F8"/>
          </w:tcPr>
          <w:p>
            <w:r>
              <w:rPr>
                <w:sz w:val="17"/>
              </w:rPr>
              <w:t>Camera</w:t>
            </w:r>
          </w:p>
        </w:tc>
        <w:tc>
          <w:tcPr>
            <w:tcW w:type="dxa" w:w="6192"/>
            <w:vAlign w:val="center"/>
            <w:shd w:fill="EDF3F8"/>
          </w:tcPr>
          <w:p>
            <w:r>
              <w:rPr>
                <w:sz w:val="17"/>
              </w:rPr>
              <w:t>Physical target-device capture remains not executed</w:t>
            </w:r>
          </w:p>
        </w:tc>
      </w:tr>
      <w:tr>
        <w:tc>
          <w:tcPr>
            <w:tcW w:type="dxa" w:w="3024"/>
            <w:vAlign w:val="center"/>
          </w:tcPr>
          <w:p>
            <w:r>
              <w:rPr>
                <w:sz w:val="17"/>
              </w:rPr>
              <w:t>Responsive</w:t>
            </w:r>
          </w:p>
        </w:tc>
        <w:tc>
          <w:tcPr>
            <w:tcW w:type="dxa" w:w="6192"/>
            <w:vAlign w:val="center"/>
          </w:tcPr>
          <w:p>
            <w:r>
              <w:rPr>
                <w:sz w:val="17"/>
              </w:rPr>
              <w:t>Portrait tablet 1024x1366 and phone 390x844 overflow in the last recorded browser check</w:t>
            </w:r>
          </w:p>
        </w:tc>
      </w:tr>
      <w:tr>
        <w:tc>
          <w:tcPr>
            <w:tcW w:type="dxa" w:w="3024"/>
            <w:vAlign w:val="center"/>
            <w:shd w:fill="EDF3F8"/>
          </w:tcPr>
          <w:p>
            <w:r>
              <w:rPr>
                <w:sz w:val="17"/>
              </w:rPr>
              <w:t>Full saved-record UI replay</w:t>
            </w:r>
          </w:p>
        </w:tc>
        <w:tc>
          <w:tcPr>
            <w:tcW w:type="dxa" w:w="6192"/>
            <w:vAlign w:val="center"/>
            <w:shd w:fill="EDF3F8"/>
          </w:tcPr>
          <w:p>
            <w:r>
              <w:rPr>
                <w:sz w:val="17"/>
              </w:rPr>
              <w:t>API and component tests pass; complete browser replay remains partial</w:t>
            </w:r>
          </w:p>
        </w:tc>
      </w:tr>
    </w:tbl>
    <w:p/>
    <w:p>
      <w:r>
        <w:t>The Test Plan defines UTC-01 to UTC-15, ITC-01 to ITC-05, and STC-01 to STC-06. The Test Record distinguishes executed P/F/NE results. The RTM maps the 31 SRS statements through implementation and tests. Maintain those identifiers when changing behavior.</w:t>
      </w:r>
    </w:p>
    <w:p>
      <w:pPr>
        <w:pStyle w:val="Heading1"/>
      </w:pPr>
      <w:r>
        <w:t>5 Change and release workflow</w:t>
      </w:r>
    </w:p>
    <w:p>
      <w:r>
        <w:t>Create a focused branch for each change. Keep Realtime and Offline independent, preserve null/quality reasons, and add a relevant regression test for changes to ROI, signal, evidence, storage, export or alignment. Before merging, run backend pytest, frontend npm test, npm run build, and the affected manual workflow. Update SRS, SDD, Test Plan, Test Record and RTM when their contracts or evidence change.</w:t>
      </w:r>
    </w:p>
    <w:p>
      <w:r>
        <w:t>The v0.1.0-demo tag identifies the handed-over source after the private remote is configured and verified. The receiver should clone that tag into a new directory, repeat the README setup, and record any platform difference. The original developer's ignored backend/data and old .venv are not part of the repository or delivery package.</w:t>
      </w:r>
    </w:p>
    <w:p>
      <w:pPr>
        <w:pStyle w:val="Heading1"/>
      </w:pPr>
      <w:r>
        <w:t>6 First week for the receiving developer</w:t>
      </w:r>
    </w:p>
    <w:p>
      <w:r>
        <w:t>1. Clone the private repository at v0.1.0-demo and complete STC-06 on the receiving computer.</w:t>
      </w:r>
    </w:p>
    <w:p>
      <w:r>
        <w:t>2. Read SRS Chapter 2, SDD Sections 2 to 8, and the RTM before altering an analysis path.</w:t>
      </w:r>
    </w:p>
    <w:p>
      <w:r>
        <w:t>3. Reproduce one full target-device camera recording and enter results for STC-02 and STC-03.</w:t>
      </w:r>
    </w:p>
    <w:p>
      <w:r>
        <w:t>4. Fix portrait-tablet and phone overflow; measure document scroll width again at both viewports.</w:t>
      </w:r>
    </w:p>
    <w:p>
      <w:r>
        <w:t>5. Repeat the selected-record Offline, evidence and export browser workflow and update STC-04.</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