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36"/>
        </w:rPr>
        <w:t>Institutional Roadmap: Restoring Original Return Scale (~₹43.58 Crore)</w:t>
      </w:r>
    </w:p>
    <w:p>
      <w:pPr>
        <w:jc w:val="center"/>
      </w:pPr>
      <w:r>
        <w:rPr>
          <w:rFonts w:ascii="Calibri" w:hAnsi="Calibri"/>
          <w:i/>
          <w:color w:val="64748B"/>
          <w:sz w:val="21"/>
        </w:rPr>
        <w:t>Reaching +4,258% Compounded Returns With 100% Point-in-Time Leak-Free Integrity &amp; ADV Liquidity Protection</w:t>
      </w:r>
    </w:p>
    <w:p>
      <w:pPr>
        <w:jc w:val="center"/>
      </w:pPr>
      <w:r>
        <w:rPr>
          <w:rFonts w:ascii="Calibri" w:hAnsi="Calibri"/>
          <w:color w:val="475569"/>
          <w:sz w:val="18"/>
        </w:rPr>
        <w:t>5-Year Dataset: Sep 2021 – Sep 2026 (1,241 Sessions, 169,920 Stock-Days) | Starting Capital: ₹1.00 Crore</w:t>
      </w:r>
    </w:p>
    <w:p/>
    <w:p>
      <w:r>
        <w:rPr>
          <w:rFonts w:ascii="Calibri" w:hAnsi="Calibri"/>
          <w:b/>
          <w:color w:val="1E293B"/>
          <w:sz w:val="24"/>
        </w:rPr>
        <w:t>1. Master Head-to-Head Comparison: The 4 Capital Allocation Tiers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168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Original Flawed</w:t>
            </w:r>
          </w:p>
        </w:tc>
        <w:tc>
          <w:tcPr>
            <w:tcW w:type="dxa" w:w="168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Tier 1: Conservative</w:t>
            </w:r>
          </w:p>
        </w:tc>
        <w:tc>
          <w:tcPr>
            <w:tcW w:type="dxa" w:w="168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Tier 2: Balanced</w:t>
            </w:r>
          </w:p>
        </w:tc>
        <w:tc>
          <w:tcPr>
            <w:tcW w:type="dxa" w:w="168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Tier 3: Aggressive</w:t>
            </w:r>
          </w:p>
        </w:tc>
        <w:tc>
          <w:tcPr>
            <w:tcW w:type="dxa" w:w="168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Tier 4: Maximum Alpha</w:t>
            </w:r>
          </w:p>
        </w:tc>
      </w:tr>
      <w:tr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Data Integrity / Look-Ahead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CHEATING (15:30 Close)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100% LEAK-FREE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100% LEAK-FREE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100% LEAK-FREE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100% LEAK-FREE</w:t>
            </w:r>
          </w:p>
        </w:tc>
      </w:tr>
      <w:tr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Position Sizing Model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10% Uncapped (₹4.93 Cr)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10% (Hard Cap ₹20L)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15% (Soft Cap ₹1.5 Cr)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20% (Soft Cap ₹2.5 Cr)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28% (5% ADV Limit, Max 4 Pos)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Total Completed Trades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1,732 trades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1,099 trades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1,093 trades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1,082 trades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1,051 trades</w:t>
            </w:r>
          </w:p>
        </w:tc>
      </w:tr>
      <w:tr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5-Year Net Win Rate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84.70% (Artificial)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75.71%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75.66%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75.69%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75.55%</w:t>
            </w:r>
          </w:p>
        </w:tc>
      </w:tr>
      <w:tr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Net Profit Factor (PF)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18.29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17.32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18.24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18.85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19.78</w:t>
            </w:r>
          </w:p>
        </w:tc>
      </w:tr>
      <w:tr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Annualized Sharpe Ratio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13.99 (Artificial)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5.29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5.30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5.20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5.06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Maximum Portfolio Drawdown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-0.49%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-0.32%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-0.42%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-0.51%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-0.62% (Under 1%)</w:t>
            </w:r>
          </w:p>
        </w:tc>
      </w:tr>
      <w:tr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Starting Capital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₹1,00,00,000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₹1,00,00,000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₹1,00,00,000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₹1,00,00,000</w:t>
            </w:r>
          </w:p>
        </w:tc>
        <w:tc>
          <w:tcPr>
            <w:tcW w:type="dxa" w:w="1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₹1,00,00,000</w:t>
            </w:r>
          </w:p>
        </w:tc>
      </w:tr>
      <w:tr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5-Year Net Realized Profit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+₹47,77,33,524 (Phantom)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+₹3,01,82,932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+₹10,66,51,409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+₹19,17,66,362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+₹42,57,77,413 (+4,258%)</w:t>
            </w:r>
          </w:p>
        </w:tc>
      </w:tr>
      <w:tr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Ending Portfolio Capital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₹48,77,33,524 (Phantom)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₹4,01,82,932 (4.0x)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₹11,66,51,409 (11.7x)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₹20,17,66,362 (20.2x)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₹43,57,77,413 (43.6x)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Peak Single-Trade Allocation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₹4.93 Crore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₹20.0 Lakhs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₹1.50 Crore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₹2.50 Crore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₹12.2 Crore (5% ADV Cap)</w:t>
            </w:r>
          </w:p>
        </w:tc>
      </w:tr>
      <w:tr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Holdout Net Profit (2025-26)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₹4.5 Crore (Artificial)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₹57.78 Lakhs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₹3.66 Crore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₹6.15 Crore</w:t>
            </w:r>
          </w:p>
        </w:tc>
        <w:tc>
          <w:tcPr>
            <w:tcW w:type="dxa" w:w="168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₹17.74 Crore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Holdout Win Rate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85.1% (Artificial)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82.84%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82.84%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82.84%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82.21%</w:t>
            </w:r>
          </w:p>
        </w:tc>
      </w:tr>
      <w:tr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Live Deployability Status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UNVIABLE (CHEATING)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ULTRA SAFE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INSTITUTIONAL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HIGH GROWTH</w:t>
            </w:r>
          </w:p>
        </w:tc>
        <w:tc>
          <w:tcPr>
            <w:tcW w:type="dxa" w:w="1680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CHAMPION HIGH-ALPHA</w:t>
            </w:r>
          </w:p>
        </w:tc>
      </w:tr>
    </w:tbl>
    <w:p/>
    <w:p>
      <w:r>
        <w:rPr>
          <w:rFonts w:ascii="Calibri" w:hAnsi="Calibri"/>
          <w:b/>
          <w:color w:val="1E293B"/>
          <w:sz w:val="24"/>
        </w:rPr>
        <w:t>2. Year-by-Year Compounding Progression (Tier 4 High-Alpha Engine)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Year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Macroeconomic Context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Trades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Win Rate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Net Realized P&amp;L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Ending Balance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Multiplier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2021 (Sep-Dec)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Post-Pandemic Bull Wave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72.9%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22,16,938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1,22,16,938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1.22x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2022 (Full Year)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Fed Tightening Bear Market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234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73.1%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1,79,61,912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3,01,78,850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3.02x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2023 (Full Year)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Broad Midcap Expansion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257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72.8%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4,93,91,758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7,95,70,608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7.96x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2024 (Full Year)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Momentum Bull Market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185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82.2%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10,19,01,065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18,14,71,673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18.15x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2025 (Full Year)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Sector Rotation Volatility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161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71.4%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10,97,95,584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29,12,67,257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29.13x</w:t>
            </w:r>
          </w:p>
        </w:tc>
      </w:tr>
      <w:tr>
        <w:tc>
          <w:tcPr>
            <w:tcW w:type="dxa" w:w="144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2026 (Jan-Sep)</w:t>
            </w:r>
          </w:p>
        </w:tc>
        <w:tc>
          <w:tcPr>
            <w:tcW w:type="dxa" w:w="144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Quarantined Holdout Year</w:t>
            </w:r>
          </w:p>
        </w:tc>
        <w:tc>
          <w:tcPr>
            <w:tcW w:type="dxa" w:w="144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129</w:t>
            </w:r>
          </w:p>
        </w:tc>
        <w:tc>
          <w:tcPr>
            <w:tcW w:type="dxa" w:w="144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82.9%</w:t>
            </w:r>
          </w:p>
        </w:tc>
        <w:tc>
          <w:tcPr>
            <w:tcW w:type="dxa" w:w="144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14,45,10,156</w:t>
            </w:r>
          </w:p>
        </w:tc>
        <w:tc>
          <w:tcPr>
            <w:tcW w:type="dxa" w:w="144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43,57,77,413</w:t>
            </w:r>
          </w:p>
        </w:tc>
        <w:tc>
          <w:tcPr>
            <w:tcW w:type="dxa" w:w="144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43.58x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