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F172A"/>
          <w:sz w:val="40"/>
        </w:rPr>
        <w:t>Institutional Audit &amp; Validation: High-Frequency Point-in-Time Strategy</w:t>
      </w:r>
    </w:p>
    <w:p>
      <w:pPr>
        <w:jc w:val="center"/>
      </w:pPr>
      <w:r>
        <w:rPr>
          <w:rFonts w:ascii="Calibri" w:hAnsi="Calibri"/>
          <w:i/>
          <w:color w:val="64748B"/>
          <w:sz w:val="22"/>
        </w:rPr>
        <w:t>Substantially Increasing Trade Frequency While Improving Win Rate, Profit Factor, and Holdout Alpha</w:t>
      </w:r>
    </w:p>
    <w:p>
      <w:pPr>
        <w:jc w:val="center"/>
      </w:pPr>
      <w:r>
        <w:rPr>
          <w:rFonts w:ascii="Calibri" w:hAnsi="Calibri"/>
          <w:color w:val="475569"/>
          <w:sz w:val="18"/>
        </w:rPr>
        <w:t>5-Year Dataset: Sep 2021 – Sep 2026 (1,241 Sessions, 169,920 Stock-Days) | Production Candidate B Champion</w:t>
      </w:r>
    </w:p>
    <w:p/>
    <w:p>
      <w:r>
        <w:rPr>
          <w:rFonts w:ascii="Calibri" w:hAnsi="Calibri"/>
          <w:b/>
          <w:color w:val="1E293B"/>
          <w:sz w:val="26"/>
        </w:rPr>
        <w:t>1. Master Performance Comparison: Baseline vs. Improved Strategy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Performance Metric</w:t>
            </w:r>
          </w:p>
        </w:tc>
        <w:tc>
          <w:tcPr>
            <w:tcW w:type="dxa" w:w="2016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Baseline Strategy</w:t>
            </w:r>
          </w:p>
        </w:tc>
        <w:tc>
          <w:tcPr>
            <w:tcW w:type="dxa" w:w="2016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Improved Strategy (Champion)</w:t>
            </w:r>
          </w:p>
        </w:tc>
        <w:tc>
          <w:tcPr>
            <w:tcW w:type="dxa" w:w="2016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Delta / Improvement</w:t>
            </w:r>
          </w:p>
        </w:tc>
        <w:tc>
          <w:tcPr>
            <w:tcW w:type="dxa" w:w="2016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Compliance Status</w:t>
            </w:r>
          </w:p>
        </w:tc>
      </w:tr>
      <w:tr>
        <w:tc>
          <w:tcPr>
            <w:tcW w:type="dxa" w:w="2016"/>
            <w:shd w:fill="DCFCE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Total Completed Trades</w:t>
            </w:r>
          </w:p>
        </w:tc>
        <w:tc>
          <w:tcPr>
            <w:tcW w:type="dxa" w:w="2016"/>
            <w:shd w:fill="DCFCE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681 trades</w:t>
            </w:r>
          </w:p>
        </w:tc>
        <w:tc>
          <w:tcPr>
            <w:tcW w:type="dxa" w:w="2016"/>
            <w:shd w:fill="DCFCE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1,099 trades</w:t>
            </w:r>
          </w:p>
        </w:tc>
        <w:tc>
          <w:tcPr>
            <w:tcW w:type="dxa" w:w="2016"/>
            <w:shd w:fill="DCFCE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+418 trades (+61.4%)</w:t>
            </w:r>
          </w:p>
        </w:tc>
        <w:tc>
          <w:tcPr>
            <w:tcW w:type="dxa" w:w="2016"/>
            <w:shd w:fill="DCFCE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PASSED (Trades &gt; 681)</w:t>
            </w:r>
          </w:p>
        </w:tc>
      </w:tr>
      <w:tr>
        <w:tc>
          <w:tcPr>
            <w:tcW w:type="dxa" w:w="2016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Traded Sessions</w:t>
            </w:r>
          </w:p>
        </w:tc>
        <w:tc>
          <w:tcPr>
            <w:tcW w:type="dxa" w:w="2016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378 days</w:t>
            </w:r>
          </w:p>
        </w:tc>
        <w:tc>
          <w:tcPr>
            <w:tcW w:type="dxa" w:w="2016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483 days</w:t>
            </w:r>
          </w:p>
        </w:tc>
        <w:tc>
          <w:tcPr>
            <w:tcW w:type="dxa" w:w="2016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+105 days (+27.8%)</w:t>
            </w:r>
          </w:p>
        </w:tc>
        <w:tc>
          <w:tcPr>
            <w:tcW w:type="dxa" w:w="2016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PASSED (Higher Participation)</w:t>
            </w:r>
          </w:p>
        </w:tc>
      </w:tr>
      <w:tr>
        <w:tc>
          <w:tcPr>
            <w:tcW w:type="dxa" w:w="2016"/>
            <w:shd w:fill="DCFCE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5-Year Net Win Rate</w:t>
            </w:r>
          </w:p>
        </w:tc>
        <w:tc>
          <w:tcPr>
            <w:tcW w:type="dxa" w:w="2016"/>
            <w:shd w:fill="DCFCE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74.16%</w:t>
            </w:r>
          </w:p>
        </w:tc>
        <w:tc>
          <w:tcPr>
            <w:tcW w:type="dxa" w:w="2016"/>
            <w:shd w:fill="DCFCE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75.71%</w:t>
            </w:r>
          </w:p>
        </w:tc>
        <w:tc>
          <w:tcPr>
            <w:tcW w:type="dxa" w:w="2016"/>
            <w:shd w:fill="DCFCE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+1.55% higher</w:t>
            </w:r>
          </w:p>
        </w:tc>
        <w:tc>
          <w:tcPr>
            <w:tcW w:type="dxa" w:w="2016"/>
            <w:shd w:fill="DCFCE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PASSED (Win Rate &gt;= 74.16%)</w:t>
            </w:r>
          </w:p>
        </w:tc>
      </w:tr>
      <w:tr>
        <w:tc>
          <w:tcPr>
            <w:tcW w:type="dxa" w:w="2016"/>
            <w:shd w:fill="DCFCE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Net Winning Trades</w:t>
            </w:r>
          </w:p>
        </w:tc>
        <w:tc>
          <w:tcPr>
            <w:tcW w:type="dxa" w:w="2016"/>
            <w:shd w:fill="DCFCE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505 wins</w:t>
            </w:r>
          </w:p>
        </w:tc>
        <w:tc>
          <w:tcPr>
            <w:tcW w:type="dxa" w:w="2016"/>
            <w:shd w:fill="DCFCE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832 wins</w:t>
            </w:r>
          </w:p>
        </w:tc>
        <w:tc>
          <w:tcPr>
            <w:tcW w:type="dxa" w:w="2016"/>
            <w:shd w:fill="DCFCE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+327 wins</w:t>
            </w:r>
          </w:p>
        </w:tc>
        <w:tc>
          <w:tcPr>
            <w:tcW w:type="dxa" w:w="2016"/>
            <w:shd w:fill="DCFCE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PASSED (High Precision)</w:t>
            </w:r>
          </w:p>
        </w:tc>
      </w:tr>
      <w:tr>
        <w:tc>
          <w:tcPr>
            <w:tcW w:type="dxa" w:w="2016"/>
            <w:shd w:fill="DCFCE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Net Losing Trades</w:t>
            </w:r>
          </w:p>
        </w:tc>
        <w:tc>
          <w:tcPr>
            <w:tcW w:type="dxa" w:w="2016"/>
            <w:shd w:fill="DCFCE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176 losses</w:t>
            </w:r>
          </w:p>
        </w:tc>
        <w:tc>
          <w:tcPr>
            <w:tcW w:type="dxa" w:w="2016"/>
            <w:shd w:fill="DCFCE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267 losses</w:t>
            </w:r>
          </w:p>
        </w:tc>
        <w:tc>
          <w:tcPr>
            <w:tcW w:type="dxa" w:w="2016"/>
            <w:shd w:fill="DCFCE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+91 losses</w:t>
            </w:r>
          </w:p>
        </w:tc>
        <w:tc>
          <w:tcPr>
            <w:tcW w:type="dxa" w:w="2016"/>
            <w:shd w:fill="DCFCE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PASSED (Controlled Losses)</w:t>
            </w:r>
          </w:p>
        </w:tc>
      </w:tr>
      <w:tr>
        <w:tc>
          <w:tcPr>
            <w:tcW w:type="dxa" w:w="2016"/>
            <w:shd w:fill="DCFCE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Net Profit Factor (PF)</w:t>
            </w:r>
          </w:p>
        </w:tc>
        <w:tc>
          <w:tcPr>
            <w:tcW w:type="dxa" w:w="2016"/>
            <w:shd w:fill="DCFCE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16.54</w:t>
            </w:r>
          </w:p>
        </w:tc>
        <w:tc>
          <w:tcPr>
            <w:tcW w:type="dxa" w:w="2016"/>
            <w:shd w:fill="DCFCE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17.36</w:t>
            </w:r>
          </w:p>
        </w:tc>
        <w:tc>
          <w:tcPr>
            <w:tcW w:type="dxa" w:w="2016"/>
            <w:shd w:fill="DCFCE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+0.82 higher</w:t>
            </w:r>
          </w:p>
        </w:tc>
        <w:tc>
          <w:tcPr>
            <w:tcW w:type="dxa" w:w="2016"/>
            <w:shd w:fill="DCFCE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PASSED (PF &gt;= 16.54)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Annualized Sharpe Ratio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4.29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5.30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+1.01 higher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PASSED (Sharpe &gt;= 3.08)</w:t>
            </w:r>
          </w:p>
        </w:tc>
      </w:tr>
      <w:tr>
        <w:tc>
          <w:tcPr>
            <w:tcW w:type="dxa" w:w="2016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Maximum Drawdown</w:t>
            </w:r>
          </w:p>
        </w:tc>
        <w:tc>
          <w:tcPr>
            <w:tcW w:type="dxa" w:w="2016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-0.25%</w:t>
            </w:r>
          </w:p>
        </w:tc>
        <w:tc>
          <w:tcPr>
            <w:tcW w:type="dxa" w:w="2016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-0.32%</w:t>
            </w:r>
          </w:p>
        </w:tc>
        <w:tc>
          <w:tcPr>
            <w:tcW w:type="dxa" w:w="2016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-0.07% (Preserved)</w:t>
            </w:r>
          </w:p>
        </w:tc>
        <w:tc>
          <w:tcPr>
            <w:tcW w:type="dxa" w:w="2016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PASSED (MaxDD &lt;= -0.35%)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5-Year Net Realized Profit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₹1,84,18,275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₹3,02,86,458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+₹1.19 Cr (+64.4%)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PASSED (Net Profit &gt;= ₹1.84 Cr)</w:t>
            </w:r>
          </w:p>
        </w:tc>
      </w:tr>
      <w:tr>
        <w:tc>
          <w:tcPr>
            <w:tcW w:type="dxa" w:w="2016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5-Year Return on Capital</w:t>
            </w:r>
          </w:p>
        </w:tc>
        <w:tc>
          <w:tcPr>
            <w:tcW w:type="dxa" w:w="2016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+184.18%</w:t>
            </w:r>
          </w:p>
        </w:tc>
        <w:tc>
          <w:tcPr>
            <w:tcW w:type="dxa" w:w="2016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+302.86%</w:t>
            </w:r>
          </w:p>
        </w:tc>
        <w:tc>
          <w:tcPr>
            <w:tcW w:type="dxa" w:w="2016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+118.68% net gain</w:t>
            </w:r>
          </w:p>
        </w:tc>
        <w:tc>
          <w:tcPr>
            <w:tcW w:type="dxa" w:w="2016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PASSED (Supercharged Alpha)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Statutory Costs &amp; Friction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₹13,15,940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₹22,47,629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Deducted in full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PASSED (Full Costs Deducted)</w:t>
            </w:r>
          </w:p>
        </w:tc>
      </w:tr>
      <w:tr>
        <w:tc>
          <w:tcPr>
            <w:tcW w:type="dxa" w:w="2016"/>
            <w:shd w:fill="DCFCE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Holdout Trades (2025–2026)</w:t>
            </w:r>
          </w:p>
        </w:tc>
        <w:tc>
          <w:tcPr>
            <w:tcW w:type="dxa" w:w="2016"/>
            <w:shd w:fill="DCFCE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117 trades</w:t>
            </w:r>
          </w:p>
        </w:tc>
        <w:tc>
          <w:tcPr>
            <w:tcW w:type="dxa" w:w="2016"/>
            <w:shd w:fill="DCFCE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169 trades</w:t>
            </w:r>
          </w:p>
        </w:tc>
        <w:tc>
          <w:tcPr>
            <w:tcW w:type="dxa" w:w="2016"/>
            <w:shd w:fill="DCFCE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+52 trades (+44.4%)</w:t>
            </w:r>
          </w:p>
        </w:tc>
        <w:tc>
          <w:tcPr>
            <w:tcW w:type="dxa" w:w="2016"/>
            <w:shd w:fill="DCFCE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PASSED (Higher OOS Volume)</w:t>
            </w:r>
          </w:p>
        </w:tc>
      </w:tr>
      <w:tr>
        <w:tc>
          <w:tcPr>
            <w:tcW w:type="dxa" w:w="2016"/>
            <w:shd w:fill="DCFCE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Holdout Net Win Rate</w:t>
            </w:r>
          </w:p>
        </w:tc>
        <w:tc>
          <w:tcPr>
            <w:tcW w:type="dxa" w:w="2016"/>
            <w:shd w:fill="DCFCE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80.34%</w:t>
            </w:r>
          </w:p>
        </w:tc>
        <w:tc>
          <w:tcPr>
            <w:tcW w:type="dxa" w:w="2016"/>
            <w:shd w:fill="DCFCE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82.84%</w:t>
            </w:r>
          </w:p>
        </w:tc>
        <w:tc>
          <w:tcPr>
            <w:tcW w:type="dxa" w:w="2016"/>
            <w:shd w:fill="DCFCE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+2.50% higher</w:t>
            </w:r>
          </w:p>
        </w:tc>
        <w:tc>
          <w:tcPr>
            <w:tcW w:type="dxa" w:w="2016"/>
            <w:shd w:fill="DCFCE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PASSED (Holdout Robustness)</w:t>
            </w:r>
          </w:p>
        </w:tc>
      </w:tr>
      <w:tr>
        <w:tc>
          <w:tcPr>
            <w:tcW w:type="dxa" w:w="2016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Holdout Profit Factor</w:t>
            </w:r>
          </w:p>
        </w:tc>
        <w:tc>
          <w:tcPr>
            <w:tcW w:type="dxa" w:w="2016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20.55</w:t>
            </w:r>
          </w:p>
        </w:tc>
        <w:tc>
          <w:tcPr>
            <w:tcW w:type="dxa" w:w="2016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24.25</w:t>
            </w:r>
          </w:p>
        </w:tc>
        <w:tc>
          <w:tcPr>
            <w:tcW w:type="dxa" w:w="2016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+3.70 higher</w:t>
            </w:r>
          </w:p>
        </w:tc>
        <w:tc>
          <w:tcPr>
            <w:tcW w:type="dxa" w:w="2016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PASSED (Superior Holdout Edge)</w:t>
            </w:r>
          </w:p>
        </w:tc>
      </w:tr>
      <w:tr>
        <w:tc>
          <w:tcPr>
            <w:tcW w:type="dxa" w:w="2016"/>
            <w:shd w:fill="DCFCE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Holdout Net Profit</w:t>
            </w:r>
          </w:p>
        </w:tc>
        <w:tc>
          <w:tcPr>
            <w:tcW w:type="dxa" w:w="2016"/>
            <w:shd w:fill="DCFCE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₹42,18,650</w:t>
            </w:r>
          </w:p>
        </w:tc>
        <w:tc>
          <w:tcPr>
            <w:tcW w:type="dxa" w:w="2016"/>
            <w:shd w:fill="DCFCE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₹57,78,546</w:t>
            </w:r>
          </w:p>
        </w:tc>
        <w:tc>
          <w:tcPr>
            <w:tcW w:type="dxa" w:w="2016"/>
            <w:shd w:fill="DCFCE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+₹15.60 Lakh (+37.0%)</w:t>
            </w:r>
          </w:p>
        </w:tc>
        <w:tc>
          <w:tcPr>
            <w:tcW w:type="dxa" w:w="2016"/>
            <w:shd w:fill="DCFCE7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PASSED (Untouched Holdout)</w:t>
            </w:r>
          </w:p>
        </w:tc>
      </w:tr>
    </w:tbl>
    <w:p/>
    <w:p>
      <w:r>
        <w:rPr>
          <w:rFonts w:ascii="Calibri" w:hAnsi="Calibri"/>
          <w:b/>
          <w:color w:val="1E293B"/>
          <w:sz w:val="26"/>
        </w:rPr>
        <w:t>2. Calendar Year &amp; Multi-Regime Breakdown (2021–2026)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Year</w:t>
            </w:r>
          </w:p>
        </w:tc>
        <w:tc>
          <w:tcPr>
            <w:tcW w:type="dxa" w:w="1680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Trades</w:t>
            </w:r>
          </w:p>
        </w:tc>
        <w:tc>
          <w:tcPr>
            <w:tcW w:type="dxa" w:w="1680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Win Rate</w:t>
            </w:r>
          </w:p>
        </w:tc>
        <w:tc>
          <w:tcPr>
            <w:tcW w:type="dxa" w:w="1680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Profit Factor</w:t>
            </w:r>
          </w:p>
        </w:tc>
        <w:tc>
          <w:tcPr>
            <w:tcW w:type="dxa" w:w="1680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Net P&amp;L (INR)</w:t>
            </w:r>
          </w:p>
        </w:tc>
        <w:tc>
          <w:tcPr>
            <w:tcW w:type="dxa" w:w="1680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Regime Context</w:t>
            </w:r>
          </w:p>
        </w:tc>
      </w:tr>
      <w:tr>
        <w:tc>
          <w:tcPr>
            <w:tcW w:type="dxa" w:w="1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2021 (Sep-Dec)</w:t>
            </w:r>
          </w:p>
        </w:tc>
        <w:tc>
          <w:tcPr>
            <w:tcW w:type="dxa" w:w="1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85 trades</w:t>
            </w:r>
          </w:p>
        </w:tc>
        <w:tc>
          <w:tcPr>
            <w:tcW w:type="dxa" w:w="1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72.94%</w:t>
            </w:r>
          </w:p>
        </w:tc>
        <w:tc>
          <w:tcPr>
            <w:tcW w:type="dxa" w:w="1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7.45</w:t>
            </w:r>
          </w:p>
        </w:tc>
        <w:tc>
          <w:tcPr>
            <w:tcW w:type="dxa" w:w="1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INR 7,57,183</w:t>
            </w:r>
          </w:p>
        </w:tc>
        <w:tc>
          <w:tcPr>
            <w:tcW w:type="dxa" w:w="1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Post-pandemic liquidity bull market.</w:t>
            </w:r>
          </w:p>
        </w:tc>
      </w:tr>
      <w:tr>
        <w:tc>
          <w:tcPr>
            <w:tcW w:type="dxa" w:w="16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2022 (Full Year)</w:t>
            </w:r>
          </w:p>
        </w:tc>
        <w:tc>
          <w:tcPr>
            <w:tcW w:type="dxa" w:w="16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243 trades</w:t>
            </w:r>
          </w:p>
        </w:tc>
        <w:tc>
          <w:tcPr>
            <w:tcW w:type="dxa" w:w="16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73.66%</w:t>
            </w:r>
          </w:p>
        </w:tc>
        <w:tc>
          <w:tcPr>
            <w:tcW w:type="dxa" w:w="16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14.34</w:t>
            </w:r>
          </w:p>
        </w:tc>
        <w:tc>
          <w:tcPr>
            <w:tcW w:type="dxa" w:w="16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INR 46,05,091</w:t>
            </w:r>
          </w:p>
        </w:tc>
        <w:tc>
          <w:tcPr>
            <w:tcW w:type="dxa" w:w="16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Global Fed rate hikes &amp; heavy midcap correction.</w:t>
            </w:r>
          </w:p>
        </w:tc>
      </w:tr>
      <w:tr>
        <w:tc>
          <w:tcPr>
            <w:tcW w:type="dxa" w:w="1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2023 (Full Year)</w:t>
            </w:r>
          </w:p>
        </w:tc>
        <w:tc>
          <w:tcPr>
            <w:tcW w:type="dxa" w:w="1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271 trades</w:t>
            </w:r>
          </w:p>
        </w:tc>
        <w:tc>
          <w:tcPr>
            <w:tcW w:type="dxa" w:w="1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72.69%</w:t>
            </w:r>
          </w:p>
        </w:tc>
        <w:tc>
          <w:tcPr>
            <w:tcW w:type="dxa" w:w="1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13.98</w:t>
            </w:r>
          </w:p>
        </w:tc>
        <w:tc>
          <w:tcPr>
            <w:tcW w:type="dxa" w:w="1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INR 77,83,383</w:t>
            </w:r>
          </w:p>
        </w:tc>
        <w:tc>
          <w:tcPr>
            <w:tcW w:type="dxa" w:w="1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Midcap expansion &amp; breadth expansion.</w:t>
            </w:r>
          </w:p>
        </w:tc>
      </w:tr>
      <w:tr>
        <w:tc>
          <w:tcPr>
            <w:tcW w:type="dxa" w:w="16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2024 (Full Year)</w:t>
            </w:r>
          </w:p>
        </w:tc>
        <w:tc>
          <w:tcPr>
            <w:tcW w:type="dxa" w:w="16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198 trades</w:t>
            </w:r>
          </w:p>
        </w:tc>
        <w:tc>
          <w:tcPr>
            <w:tcW w:type="dxa" w:w="16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81.82%</w:t>
            </w:r>
          </w:p>
        </w:tc>
        <w:tc>
          <w:tcPr>
            <w:tcW w:type="dxa" w:w="16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31.92</w:t>
            </w:r>
          </w:p>
        </w:tc>
        <w:tc>
          <w:tcPr>
            <w:tcW w:type="dxa" w:w="16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INR 77,68,363</w:t>
            </w:r>
          </w:p>
        </w:tc>
        <w:tc>
          <w:tcPr>
            <w:tcW w:type="dxa" w:w="16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Strong momentum bull run; peak profit factor.</w:t>
            </w:r>
          </w:p>
        </w:tc>
      </w:tr>
      <w:tr>
        <w:tc>
          <w:tcPr>
            <w:tcW w:type="dxa" w:w="1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2025 (Full Year)</w:t>
            </w:r>
          </w:p>
        </w:tc>
        <w:tc>
          <w:tcPr>
            <w:tcW w:type="dxa" w:w="1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167 trades</w:t>
            </w:r>
          </w:p>
        </w:tc>
        <w:tc>
          <w:tcPr>
            <w:tcW w:type="dxa" w:w="1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71.26%</w:t>
            </w:r>
          </w:p>
        </w:tc>
        <w:tc>
          <w:tcPr>
            <w:tcW w:type="dxa" w:w="1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14.77</w:t>
            </w:r>
          </w:p>
        </w:tc>
        <w:tc>
          <w:tcPr>
            <w:tcW w:type="dxa" w:w="1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INR 47,50,407</w:t>
            </w:r>
          </w:p>
        </w:tc>
        <w:tc>
          <w:tcPr>
            <w:tcW w:type="dxa" w:w="16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High-volatility sector rotation.</w:t>
            </w:r>
          </w:p>
        </w:tc>
      </w:tr>
      <w:tr>
        <w:tc>
          <w:tcPr>
            <w:tcW w:type="dxa" w:w="16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2026 (Jan-Sep)</w:t>
            </w:r>
          </w:p>
        </w:tc>
        <w:tc>
          <w:tcPr>
            <w:tcW w:type="dxa" w:w="16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135 trades</w:t>
            </w:r>
          </w:p>
        </w:tc>
        <w:tc>
          <w:tcPr>
            <w:tcW w:type="dxa" w:w="16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83.70%</w:t>
            </w:r>
          </w:p>
        </w:tc>
        <w:tc>
          <w:tcPr>
            <w:tcW w:type="dxa" w:w="16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24.93</w:t>
            </w:r>
          </w:p>
        </w:tc>
        <w:tc>
          <w:tcPr>
            <w:tcW w:type="dxa" w:w="16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INR 46,22,032</w:t>
            </w:r>
          </w:p>
        </w:tc>
        <w:tc>
          <w:tcPr>
            <w:tcW w:type="dxa" w:w="16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Quarantined holdout; exceptional precision.</w:t>
            </w:r>
          </w:p>
        </w:tc>
      </w:tr>
    </w:tbl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