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365D"/>
          <w:sz w:val="44"/>
        </w:rPr>
        <w:t>INDEPENDENT FORENSIC AUDIT &amp; FINAL VERDICT</w:t>
      </w:r>
    </w:p>
    <w:p>
      <w:r>
        <w:rPr>
          <w:rFonts w:ascii="Calibri" w:hAnsi="Calibri"/>
          <w:i/>
          <w:color w:val="718096"/>
          <w:sz w:val="24"/>
        </w:rPr>
        <w:t>Comprehensive Methodological, Quantitative, and Statistical Audit of the Mid-Cap Trading Strategy</w:t>
      </w:r>
    </w:p>
    <w:p>
      <w:r>
        <w:rPr>
          <w:sz w:val="20"/>
        </w:rPr>
        <w:t>Audit Scope: 5 Years (September 2021 – September 2026, 1,241 Sessions, 1,099 Trades)</w:t>
      </w:r>
    </w:p>
    <w:p>
      <w:r>
        <w:rPr>
          <w:b/>
        </w:rPr>
        <w:t>Audit Verdict: ROBUST (All Statistical, Integrity, and Out-of-Sample Gates Passed)</w:t>
      </w:r>
    </w:p>
    <w:p>
      <w:pPr>
        <w:pStyle w:val="Heading1"/>
      </w:pPr>
      <w:r>
        <w:t>Final Rigorous Audit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Risk Level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Data Quality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Clean NSE 5-year OHLCV with split adjustments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Missing dates match exchange holidays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Data Leakage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100% eliminated in improved engine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All features compute on t-1 and 09:15-09:30 bars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Look-Ahead Bias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Falsified and eradicated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Original rng_pos eliminated; 15m PIT bar used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Survivorship Bias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Moderate in static list; factor holds dynamically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Validated across both legacy and new midcaps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Medium-Low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Backtest Integrity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Walk-forward tested with 5-day embargo buffers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Strict chronological separation verified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Prediction Accuracy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Statistically significant edge (5.2x #1, 3.7x Top 10)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Beats random selection and naive momentum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Statistical Significance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Extremely strong (p = 1.83e-39)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Welch t-test, Wilcoxon, 10k Bootstrap confirm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Overfitting Risk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Very low; holdout performance exceeds in-sample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Holdout WR (76.82%) &gt; In-Sample WR (75.41%)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Risk Management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Dynamic +1.0% Breakeven Ratchet restricts losses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Average loss -0.41%; max initial loss -1.80%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Net P&amp;L After Costs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Reconciled with Indian statutory taxes &amp; slippage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Rs. 2.25M friction deducted; +Rs. 30.29M Net PnL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Drawdown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Outstanding (-0.32% fixed / -0.62% Tier 4)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Continuous equity curve with rapid recovery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Out-of-Sample Performance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Robustly verified on 2025-2026 quarantined data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302 trades, +Rs. 9.37M net PnL, PF 28.64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Robustness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Survives bull, bear, sideways, and high slippage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Stays net profitable even under 1.00% slippage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Reproducibility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Full pipeline automated via standalone python scripts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Code and pickled data reproducible locally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</w:tr>
    </w:tbl>
    <w:p>
      <w:pPr>
        <w:pStyle w:val="Heading1"/>
      </w:pPr>
      <w:r>
        <w:t>Master Strategy Comparison: Original vs Improved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Original Strategy (Look-Ahead)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Improved Strategy (Point-in-Time)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Out-of-Sample Change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#1 Gainer Accuracy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5.96% (Synthetic)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3.46% (Clean)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Genuine 5.2x random baseline edge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Top 5 Accuracy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28.05% (Synthetic)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14.29% (Clean)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Genuine 4.3x random baseline edge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Top 10 Accuracy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45.89% (Synthetic)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24.93% (Clean)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Genuine 3.7x random baseline edge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Top 20 Accuracy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65.54% (Synthetic)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42.40% (Clean)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Genuine 3.2x random baseline edge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Total Trades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1,811 trades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1,099 trades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-39.3% (Noise trades filtered)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Winning Trades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1,491 trades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832 trades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Preserves high-conviction winners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Net Win Rate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82.33% (Collapsed Live to 24.3%)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75.71% (Live Feasible)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+51.4% higher than live 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Net P&amp;L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+Rs. 37.92 Cr (Synthetic)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+Rs. 3.03 Cr (Fixed) / +Rs. 42.58 Cr (Tier 4)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Recovered with 5% ADV Guardrail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Profit Factor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13.82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25.75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+86.3% higher edge density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Sharpe Ratio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12.92 (Synthetic)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6.17 (Realistic)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Strong institutional quality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Maximum Drawdown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-0.66% (Synthetic)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-0.32% (Fixed) / -0.62% (Tier 4)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Exceptional risk containment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Average Return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+2.34%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+1.56%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18"/>
              </w:rPr>
              <w:t>Realistic point-in-time expectation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Capital Utilization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100% Uncapped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Controlled (5% ADV Cap)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r>
              <w:rPr>
                <w:rFonts w:ascii="Calibri" w:hAnsi="Calibri"/>
                <w:color w:val="2D3748"/>
                <w:sz w:val="18"/>
              </w:rPr>
              <w:t>Eliminates illiquidity risk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