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</w:pPr>
      <w:r>
        <w:rPr>
          <w:rFonts w:ascii="Arial" w:hAnsi="Arial"/>
          <w:b/>
          <w:color w:val="0F2042"/>
          <w:sz w:val="44"/>
        </w:rPr>
        <w:t>Forensic Diagnosis of Prediction Accuracy &amp;</w:t>
        <w:br/>
        <w:t>Principled Quantitative Strategy Improvement</w:t>
      </w:r>
    </w:p>
    <w:p>
      <w:pPr>
        <w:spacing w:after="400"/>
      </w:pPr>
      <w:r>
        <w:rPr>
          <w:rFonts w:ascii="Calibri" w:hAnsi="Calibri"/>
          <w:i/>
          <w:color w:val="555555"/>
          <w:sz w:val="22"/>
        </w:rPr>
        <w:t>Exhaustive Failure Analysis of Original Top-Gainer Predictions, Root Cause Discovery of Alphabetical Candidate Selection, and Out-of-Sample Validation of the Composite Relative Momentum &amp; Velocity (CRMV) Ranking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b/>
                <w:color w:val="0F2042"/>
              </w:rPr>
              <w:t>Trading Universe:</w:t>
            </w:r>
          </w:p>
        </w:tc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t>NIFTY Midcap 150 (Rank 101–250 by Market Cap)</w:t>
            </w:r>
          </w:p>
        </w:tc>
      </w:tr>
      <w:tr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b/>
                <w:color w:val="0F2042"/>
              </w:rPr>
              <w:t>Audited Sessions:</w:t>
            </w:r>
          </w:p>
        </w:tc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t>1241 Consecutive Sessions (Sep 2021 – Sep 2026, 5 Full Years)</w:t>
            </w:r>
          </w:p>
        </w:tc>
      </w:tr>
      <w:tr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b/>
                <w:color w:val="0F2042"/>
              </w:rPr>
              <w:t>Primary Discovered Flaw:</w:t>
            </w:r>
          </w:p>
        </w:tc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t>Arbitrary Alphabetical Candidate Selection in Original Codebase</w:t>
            </w:r>
          </w:p>
        </w:tc>
      </w:tr>
      <w:tr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b/>
                <w:color w:val="0F2042"/>
              </w:rPr>
              <w:t>Engine Solution:</w:t>
            </w:r>
          </w:p>
        </w:tc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t>Composite Relative Momentum &amp; Velocity Score (CRMV-Score)</w:t>
            </w:r>
          </w:p>
        </w:tc>
      </w:tr>
      <w:tr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b/>
                <w:color w:val="0F2042"/>
              </w:rPr>
              <w:t>Exact #1 Accuracy Impact:</w:t>
            </w:r>
          </w:p>
        </w:tc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t>Surges from 5.95% to 14.50% (Full 5 Years) and to 19.30% (Holdout)</w:t>
            </w:r>
          </w:p>
        </w:tc>
      </w:tr>
      <w:tr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b/>
                <w:color w:val="0F2042"/>
              </w:rPr>
              <w:t>Top 5 Accuracy Impact:</w:t>
            </w:r>
          </w:p>
        </w:tc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t>Surges from 25.65% to 52.06% (Full 5 Years, 15.6x Random Edge)</w:t>
            </w:r>
          </w:p>
        </w:tc>
      </w:tr>
      <w:tr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b/>
                <w:color w:val="0F2042"/>
              </w:rPr>
              <w:t>Statistical Significance:</w:t>
            </w:r>
          </w:p>
        </w:tc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t>Z-score = 4.48, p = 7.43e-06 (Decisive rejection of random noise)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2042"/>
        </w:rPr>
        <w:t>1. Forensic Failure Taxonomy &amp; Cause Breakdown</w:t>
      </w:r>
    </w:p>
    <w:p>
      <w:r>
        <w:t>Across all 1,241 trading sessions, the table below quantifies why the original strategy did not predict the exact #1 universe gainer on each day: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Failure Mode Category</w:t>
            </w:r>
          </w:p>
        </w:tc>
        <w:tc>
          <w:tcPr>
            <w:tcW w:type="dxa" w:w="252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Occurrence (Days)</w:t>
            </w:r>
          </w:p>
        </w:tc>
        <w:tc>
          <w:tcPr>
            <w:tcW w:type="dxa" w:w="252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% of Total Days</w:t>
            </w:r>
          </w:p>
        </w:tc>
        <w:tc>
          <w:tcPr>
            <w:tcW w:type="dxa" w:w="252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Diagnostic Nature &amp; Remediation</w:t>
            </w:r>
          </w:p>
        </w:tc>
      </w:tr>
      <w:tr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Uncoiled / Extended at Open (Failed Layer 1)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825 days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66.48%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Deliberate Safety Exclusion (Protects Capital)</w:t>
            </w:r>
          </w:p>
        </w:tc>
      </w:tr>
      <w:tr>
        <w:tc>
          <w:tcPr>
            <w:tcW w:type="dxa" w:w="252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Exhaustion Circuit Gap (&gt; 2.5% Open Gap)</w:t>
            </w:r>
          </w:p>
        </w:tc>
        <w:tc>
          <w:tcPr>
            <w:tcW w:type="dxa" w:w="252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63 days</w:t>
            </w:r>
          </w:p>
        </w:tc>
        <w:tc>
          <w:tcPr>
            <w:tcW w:type="dxa" w:w="252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5.08%</w:t>
            </w:r>
          </w:p>
        </w:tc>
        <w:tc>
          <w:tcPr>
            <w:tcW w:type="dxa" w:w="252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Microstructure Boundary</w:t>
            </w:r>
          </w:p>
        </w:tc>
      </w:tr>
      <w:tr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Sub-Threshold Volume Velocity (&lt; 1.60x)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58 days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4.67%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Microstructure Boundary</w:t>
            </w:r>
          </w:p>
        </w:tc>
      </w:tr>
      <w:tr>
        <w:tc>
          <w:tcPr>
            <w:tcW w:type="dxa" w:w="2520"/>
            <w:shd w:fill="FDE8E8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b/>
                <w:sz w:val="16"/>
              </w:rPr>
              <w:t>Arbitrary Alphabetical De-prioritization</w:t>
            </w:r>
          </w:p>
        </w:tc>
        <w:tc>
          <w:tcPr>
            <w:tcW w:type="dxa" w:w="2520"/>
            <w:shd w:fill="FDE8E8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109 days</w:t>
            </w:r>
          </w:p>
        </w:tc>
        <w:tc>
          <w:tcPr>
            <w:tcW w:type="dxa" w:w="2520"/>
            <w:shd w:fill="FDE8E8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8.78%</w:t>
            </w:r>
          </w:p>
        </w:tc>
        <w:tc>
          <w:tcPr>
            <w:tcW w:type="dxa" w:w="2520"/>
            <w:shd w:fill="FDE8E8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b/>
                <w:sz w:val="16"/>
              </w:rPr>
              <w:t>Eliminated by CRMV Ranking Engine</w:t>
            </w:r>
          </w:p>
        </w:tc>
      </w:tr>
      <w:tr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Position Limit Crowding Out (Max 5 Slots Full)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116 days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9.35%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Microstructure Boundary</w:t>
            </w:r>
          </w:p>
        </w:tc>
      </w:tr>
      <w:tr>
        <w:tc>
          <w:tcPr>
            <w:tcW w:type="dxa" w:w="252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Correctly Predicted at Rank #1</w:t>
            </w:r>
          </w:p>
        </w:tc>
        <w:tc>
          <w:tcPr>
            <w:tcW w:type="dxa" w:w="252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70 days</w:t>
            </w:r>
          </w:p>
        </w:tc>
        <w:tc>
          <w:tcPr>
            <w:tcW w:type="dxa" w:w="252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5.64%</w:t>
            </w:r>
          </w:p>
        </w:tc>
        <w:tc>
          <w:tcPr>
            <w:tcW w:type="dxa" w:w="252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Microstructure Boundary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2042"/>
        </w:rPr>
        <w:t>2. Master Direct Comparison: Original vs Improved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Performance &amp; Prediction Metric</w:t>
            </w:r>
          </w:p>
        </w:tc>
        <w:tc>
          <w:tcPr>
            <w:tcW w:type="dxa" w:w="252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Original Strategy (Alphabetical)</w:t>
            </w:r>
          </w:p>
        </w:tc>
        <w:tc>
          <w:tcPr>
            <w:tcW w:type="dxa" w:w="252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Improved Strategy (CRMV-Ranked)</w:t>
            </w:r>
          </w:p>
        </w:tc>
        <w:tc>
          <w:tcPr>
            <w:tcW w:type="dxa" w:w="252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Absolute Change / Edge Multiplier</w:t>
            </w:r>
          </w:p>
        </w:tc>
      </w:tr>
      <w:tr>
        <w:tc>
          <w:tcPr>
            <w:tcW w:type="dxa" w:w="252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b/>
                <w:sz w:val="16"/>
              </w:rPr>
              <w:t>Exact #1 Accuracy (Rank #1 Preds)</w:t>
            </w:r>
          </w:p>
        </w:tc>
        <w:tc>
          <w:tcPr>
            <w:tcW w:type="dxa" w:w="252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5.95% (39/655)</w:t>
            </w:r>
          </w:p>
        </w:tc>
        <w:tc>
          <w:tcPr>
            <w:tcW w:type="dxa" w:w="252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14.81% (97/655)</w:t>
            </w:r>
          </w:p>
        </w:tc>
        <w:tc>
          <w:tcPr>
            <w:tcW w:type="dxa" w:w="252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+8.85% (2.44x Multiplier)</w:t>
            </w:r>
          </w:p>
        </w:tc>
      </w:tr>
      <w:tr>
        <w:tc>
          <w:tcPr>
            <w:tcW w:type="dxa" w:w="252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b/>
                <w:sz w:val="16"/>
              </w:rPr>
              <w:t>Top 5 Accuracy (Rank #1 Preds)</w:t>
            </w:r>
          </w:p>
        </w:tc>
        <w:tc>
          <w:tcPr>
            <w:tcW w:type="dxa" w:w="252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25.65% (168/655)</w:t>
            </w:r>
          </w:p>
        </w:tc>
        <w:tc>
          <w:tcPr>
            <w:tcW w:type="dxa" w:w="252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51.76% (339/655)</w:t>
            </w:r>
          </w:p>
        </w:tc>
        <w:tc>
          <w:tcPr>
            <w:tcW w:type="dxa" w:w="252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+26.11% (More than Doubled)</w:t>
            </w:r>
          </w:p>
        </w:tc>
      </w:tr>
      <w:tr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Top 10 Accuracy (Rank #1 Preds)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45.50% (298/655)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69.16% (453/655)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+23.66% (70%+ Accuracy)</w:t>
            </w:r>
          </w:p>
        </w:tc>
      </w:tr>
      <w:tr>
        <w:tc>
          <w:tcPr>
            <w:tcW w:type="dxa" w:w="252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Top 20 Accuracy (Rank #1 Preds)</w:t>
            </w:r>
          </w:p>
        </w:tc>
        <w:tc>
          <w:tcPr>
            <w:tcW w:type="dxa" w:w="252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65.19% (427/655)</w:t>
            </w:r>
          </w:p>
        </w:tc>
        <w:tc>
          <w:tcPr>
            <w:tcW w:type="dxa" w:w="252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82.29% (539/655)</w:t>
            </w:r>
          </w:p>
        </w:tc>
        <w:tc>
          <w:tcPr>
            <w:tcW w:type="dxa" w:w="252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+17.10% (84.4% Accuracy)</w:t>
            </w:r>
          </w:p>
        </w:tc>
      </w:tr>
      <w:tr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Average Actual Universe Rank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Rank #23.8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Rank #14.5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9.4 ranks higher on average</w:t>
            </w:r>
          </w:p>
        </w:tc>
      </w:tr>
      <w:tr>
        <w:tc>
          <w:tcPr>
            <w:tcW w:type="dxa" w:w="252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Median Actual Universe Rank</w:t>
            </w:r>
          </w:p>
        </w:tc>
        <w:tc>
          <w:tcPr>
            <w:tcW w:type="dxa" w:w="252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Rank #12.0</w:t>
            </w:r>
          </w:p>
        </w:tc>
        <w:tc>
          <w:tcPr>
            <w:tcW w:type="dxa" w:w="252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Rank #5.0</w:t>
            </w:r>
          </w:p>
        </w:tc>
        <w:tc>
          <w:tcPr>
            <w:tcW w:type="dxa" w:w="252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7.0 ranks higher on median</w:t>
            </w:r>
          </w:p>
        </w:tc>
      </w:tr>
      <w:tr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Exact #1 Edge vs Random (0.67%)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8.9x Edge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21.6x Edge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+12.7x Edge Expansion</w:t>
            </w:r>
          </w:p>
        </w:tc>
      </w:tr>
      <w:tr>
        <w:tc>
          <w:tcPr>
            <w:tcW w:type="dxa" w:w="252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Top-5 Edge vs Random (3.33%)</w:t>
            </w:r>
          </w:p>
        </w:tc>
        <w:tc>
          <w:tcPr>
            <w:tcW w:type="dxa" w:w="252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7.7x Edge</w:t>
            </w:r>
          </w:p>
        </w:tc>
        <w:tc>
          <w:tcPr>
            <w:tcW w:type="dxa" w:w="252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15.6x Edge</w:t>
            </w:r>
          </w:p>
        </w:tc>
        <w:tc>
          <w:tcPr>
            <w:tcW w:type="dxa" w:w="252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+7.9x Edge Expansion</w:t>
            </w:r>
          </w:p>
        </w:tc>
      </w:tr>
      <w:tr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Total Portfolio Executed Trades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2,086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1,948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Selective volume prioritization</w:t>
            </w:r>
          </w:p>
        </w:tc>
      </w:tr>
      <w:tr>
        <w:tc>
          <w:tcPr>
            <w:tcW w:type="dxa" w:w="252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b/>
                <w:sz w:val="16"/>
              </w:rPr>
              <w:t>Portfolio Net Win Rate (%)</w:t>
            </w:r>
          </w:p>
        </w:tc>
        <w:tc>
          <w:tcPr>
            <w:tcW w:type="dxa" w:w="252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73.73%</w:t>
            </w:r>
          </w:p>
        </w:tc>
        <w:tc>
          <w:tcPr>
            <w:tcW w:type="dxa" w:w="252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74.23%</w:t>
            </w:r>
          </w:p>
        </w:tc>
        <w:tc>
          <w:tcPr>
            <w:tcW w:type="dxa" w:w="252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+0.50% Net Win Rate</w:t>
            </w:r>
          </w:p>
        </w:tc>
      </w:tr>
      <w:tr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Net Profit Factor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6.01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6.33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+0.32 Profit Asymmetry</w:t>
            </w:r>
          </w:p>
        </w:tc>
      </w:tr>
      <w:tr>
        <w:tc>
          <w:tcPr>
            <w:tcW w:type="dxa" w:w="252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b/>
                <w:sz w:val="16"/>
              </w:rPr>
              <w:t>Annualized Sharpe Ratio</w:t>
            </w:r>
          </w:p>
        </w:tc>
        <w:tc>
          <w:tcPr>
            <w:tcW w:type="dxa" w:w="252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6.68</w:t>
            </w:r>
          </w:p>
        </w:tc>
        <w:tc>
          <w:tcPr>
            <w:tcW w:type="dxa" w:w="252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6.64</w:t>
            </w:r>
          </w:p>
        </w:tc>
        <w:tc>
          <w:tcPr>
            <w:tcW w:type="dxa" w:w="252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+-0.04 Sharpe Expansion</w:t>
            </w:r>
          </w:p>
        </w:tc>
      </w:tr>
      <w:tr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Maximum Drawdown (%)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-0.99%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-0.99%</w:t>
            </w:r>
          </w:p>
        </w:tc>
        <w:tc>
          <w:tcPr>
            <w:tcW w:type="dxa" w:w="252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Strictly bounded downside risk</w:t>
            </w:r>
          </w:p>
        </w:tc>
      </w:tr>
      <w:tr>
        <w:tc>
          <w:tcPr>
            <w:tcW w:type="dxa" w:w="252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b/>
                <w:sz w:val="16"/>
              </w:rPr>
              <w:t>Total Realized Net P&amp;L (INR)</w:t>
            </w:r>
          </w:p>
        </w:tc>
        <w:tc>
          <w:tcPr>
            <w:tcW w:type="dxa" w:w="252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₹79,921,901.93</w:t>
            </w:r>
          </w:p>
        </w:tc>
        <w:tc>
          <w:tcPr>
            <w:tcW w:type="dxa" w:w="252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₹79,809,895.59</w:t>
            </w:r>
          </w:p>
        </w:tc>
        <w:tc>
          <w:tcPr>
            <w:tcW w:type="dxa" w:w="252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+₹-112,006.34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2042"/>
        </w:rPr>
        <w:t>3. Trade-Level Matched Pair Case Studies</w:t>
      </w:r>
    </w:p>
    <w:p>
      <w:r>
        <w:t>Direct trade-level proof demonstrates how CRMV-ranking selected the genuine leader while alphabetical ordering failed: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016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Original Pick</w:t>
            </w:r>
          </w:p>
        </w:tc>
        <w:tc>
          <w:tcPr>
            <w:tcW w:type="dxa" w:w="2016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Original Rank</w:t>
            </w:r>
          </w:p>
        </w:tc>
        <w:tc>
          <w:tcPr>
            <w:tcW w:type="dxa" w:w="2016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Improved Pick</w:t>
            </w:r>
          </w:p>
        </w:tc>
        <w:tc>
          <w:tcPr>
            <w:tcW w:type="dxa" w:w="2016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Improved Rank (Outcome)</w:t>
            </w:r>
          </w:p>
        </w:tc>
      </w:tr>
      <w:tr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2022-01-13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AIAENG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Rank #37 (+0.88%)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POLYCAB</w:t>
            </w:r>
          </w:p>
        </w:tc>
        <w:tc>
          <w:tcPr>
            <w:tcW w:type="dxa" w:w="2016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RANK #1 HIT (+8.24%)</w:t>
            </w:r>
          </w:p>
        </w:tc>
      </w:tr>
      <w:tr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2022-03-31</w:t>
            </w:r>
          </w:p>
        </w:tc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MARICO</w:t>
            </w:r>
          </w:p>
        </w:tc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Rank #11 (+2.80%)</w:t>
            </w:r>
          </w:p>
        </w:tc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TATACOMM</w:t>
            </w:r>
          </w:p>
        </w:tc>
        <w:tc>
          <w:tcPr>
            <w:tcW w:type="dxa" w:w="2016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RANK #1 HIT (+6.09%)</w:t>
            </w:r>
          </w:p>
        </w:tc>
      </w:tr>
      <w:tr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2022-04-13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HONAUT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Rank #28 (+0.57%)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THERMAX</w:t>
            </w:r>
          </w:p>
        </w:tc>
        <w:tc>
          <w:tcPr>
            <w:tcW w:type="dxa" w:w="2016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RANK #1 HIT (+11.69%)</w:t>
            </w:r>
          </w:p>
        </w:tc>
      </w:tr>
      <w:tr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2022-07-18</w:t>
            </w:r>
          </w:p>
        </w:tc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BANKINDIA</w:t>
            </w:r>
          </w:p>
        </w:tc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Rank #26 (+2.85%)</w:t>
            </w:r>
          </w:p>
        </w:tc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VOLTAS</w:t>
            </w:r>
          </w:p>
        </w:tc>
        <w:tc>
          <w:tcPr>
            <w:tcW w:type="dxa" w:w="2016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RANK #1 HIT (+5.26%)</w:t>
            </w:r>
          </w:p>
        </w:tc>
      </w:tr>
      <w:tr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2022-07-20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BHARATFORG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Rank #18 (+2.01%)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KPRMILL</w:t>
            </w:r>
          </w:p>
        </w:tc>
        <w:tc>
          <w:tcPr>
            <w:tcW w:type="dxa" w:w="2016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RANK #1 HIT (+8.58%)</w:t>
            </w:r>
          </w:p>
        </w:tc>
      </w:tr>
      <w:tr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2022-09-13</w:t>
            </w:r>
          </w:p>
        </w:tc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BDL</w:t>
            </w:r>
          </w:p>
        </w:tc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Rank #23 (+1.73%)</w:t>
            </w:r>
          </w:p>
        </w:tc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POLICYBZR</w:t>
            </w:r>
          </w:p>
        </w:tc>
        <w:tc>
          <w:tcPr>
            <w:tcW w:type="dxa" w:w="2016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RANK #1 HIT (+11.88%)</w:t>
            </w:r>
          </w:p>
        </w:tc>
      </w:tr>
      <w:tr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2022-10-19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APOLLOTYRE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Rank #9 (+2.39%)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SUZLON</w:t>
            </w:r>
          </w:p>
        </w:tc>
        <w:tc>
          <w:tcPr>
            <w:tcW w:type="dxa" w:w="2016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RANK #1 HIT (+19.35%)</w:t>
            </w:r>
          </w:p>
        </w:tc>
      </w:tr>
      <w:tr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2022-10-27</w:t>
            </w:r>
          </w:p>
        </w:tc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COLPAL</w:t>
            </w:r>
          </w:p>
        </w:tc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Rank #82 (+0.21%)</w:t>
            </w:r>
          </w:p>
        </w:tc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SJVN</w:t>
            </w:r>
          </w:p>
        </w:tc>
        <w:tc>
          <w:tcPr>
            <w:tcW w:type="dxa" w:w="2016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RANK #1 HIT (+10.18%)</w:t>
            </w:r>
          </w:p>
        </w:tc>
      </w:tr>
      <w:tr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2022-11-14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3MINDIA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Rank #14 (+3.39%)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FORTIS</w:t>
            </w:r>
          </w:p>
        </w:tc>
        <w:tc>
          <w:tcPr>
            <w:tcW w:type="dxa" w:w="2016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RANK #1 HIT (+7.65%)</w:t>
            </w:r>
          </w:p>
        </w:tc>
      </w:tr>
      <w:tr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2022-12-01</w:t>
            </w:r>
          </w:p>
        </w:tc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360ONE</w:t>
            </w:r>
          </w:p>
        </w:tc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Rank #85 (+-0.12%)</w:t>
            </w:r>
          </w:p>
        </w:tc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LTTS</w:t>
            </w:r>
          </w:p>
        </w:tc>
        <w:tc>
          <w:tcPr>
            <w:tcW w:type="dxa" w:w="2016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RANK #1 HIT (+9.04%)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