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</w:pPr>
      <w:r>
        <w:rPr>
          <w:rFonts w:ascii="Arial" w:hAnsi="Arial"/>
          <w:b/>
          <w:color w:val="0F2042"/>
          <w:sz w:val="40"/>
        </w:rPr>
        <w:t>Methodologically Rebuilt Empirical Research Report:</w:t>
        <w:br/>
        <w:t>Statistical Factor Analysis of Mid-Cap Top Gainers</w:t>
      </w:r>
    </w:p>
    <w:p>
      <w:pPr>
        <w:spacing w:after="320"/>
      </w:pPr>
      <w:r>
        <w:rPr>
          <w:rFonts w:ascii="Calibri" w:hAnsi="Calibri"/>
          <w:i/>
          <w:color w:val="555555"/>
          <w:sz w:val="22"/>
        </w:rPr>
        <w:t>Institutional Risk Committee &amp; Peer-Review Revision</w:t>
        <w:br/>
        <w:t>Incorporating Full 2x2 Contingency Baselines, Multiple-Testing Corrections, Confidence Intervals, and Case-Study Source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0F2042"/>
                <w:sz w:val="17"/>
              </w:rPr>
              <w:t>Audited Population:</w:t>
            </w:r>
          </w:p>
        </w:tc>
        <w:tc>
          <w:tcPr>
            <w:tcW w:type="dxa" w:w="4968"/>
            <w:shd w:fill="F0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1,255 Top-5 Winning Events &amp; 36,053 Reconciled Negative Control Stock-Days (Total N = 37,308)</w:t>
            </w:r>
          </w:p>
        </w:tc>
      </w:tr>
      <w:tr>
        <w:tc>
          <w:tcPr>
            <w:tcW w:type="dxa" w:w="4968"/>
            <w:shd w:fill="F0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0F2042"/>
                <w:sz w:val="17"/>
              </w:rPr>
              <w:t>Observation Horizon:</w:t>
            </w:r>
          </w:p>
        </w:tc>
        <w:tc>
          <w:tcPr>
            <w:tcW w:type="dxa" w:w="4968"/>
            <w:shd w:fill="F0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251 Consecutive Trading Sessions (19/09/2025 to 19/09/2026)</w:t>
            </w:r>
          </w:p>
        </w:tc>
      </w:tr>
      <w:tr>
        <w:tc>
          <w:tcPr>
            <w:tcW w:type="dxa" w:w="4968"/>
            <w:shd w:fill="F0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0F2042"/>
                <w:sz w:val="17"/>
              </w:rPr>
              <w:t>Universe Specification:</w:t>
            </w:r>
          </w:p>
        </w:tc>
        <w:tc>
          <w:tcPr>
            <w:tcW w:type="dxa" w:w="4968"/>
            <w:shd w:fill="F0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SEBI/AMFI Mid-Cap Universe (Rank 101–250 by Market Cap) — Static Benchmark with Rebalancing Disclosures</w:t>
            </w:r>
          </w:p>
        </w:tc>
      </w:tr>
      <w:tr>
        <w:tc>
          <w:tcPr>
            <w:tcW w:type="dxa" w:w="4968"/>
            <w:shd w:fill="F0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0F2042"/>
                <w:sz w:val="17"/>
              </w:rPr>
              <w:t>Statistical Standards:</w:t>
            </w:r>
          </w:p>
        </w:tc>
        <w:tc>
          <w:tcPr>
            <w:tcW w:type="dxa" w:w="4968"/>
            <w:shd w:fill="F0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Wilson 95% Score Confidence Intervals, Chi-Squared Tests, Benjamini-Hochberg FDR (alpha = 0.05)</w:t>
            </w:r>
          </w:p>
        </w:tc>
      </w:tr>
      <w:tr>
        <w:tc>
          <w:tcPr>
            <w:tcW w:type="dxa" w:w="4968"/>
            <w:shd w:fill="F0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0F2042"/>
                <w:sz w:val="17"/>
              </w:rPr>
              <w:t>Causal Epistemology:</w:t>
            </w:r>
          </w:p>
        </w:tc>
        <w:tc>
          <w:tcPr>
            <w:tcW w:type="dxa" w:w="4968"/>
            <w:shd w:fill="F0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All Factors Reclassified as 'Associated' (Correlational) Pending Controlled Event Studies</w:t>
            </w:r>
          </w:p>
        </w:tc>
      </w:tr>
      <w:tr>
        <w:tc>
          <w:tcPr>
            <w:tcW w:type="dxa" w:w="4968"/>
            <w:shd w:fill="F0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0F2042"/>
                <w:sz w:val="17"/>
              </w:rPr>
              <w:t>Institutional Status:</w:t>
            </w:r>
          </w:p>
        </w:tc>
        <w:tc>
          <w:tcPr>
            <w:tcW w:type="dxa" w:w="4968"/>
            <w:shd w:fill="F0F4F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Conditionally Validated for Hypothesis Generation; Strictly Rejected for Unconstrained Live Capital Deployment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2042"/>
        </w:rPr>
        <w:t>1. Forensic Audit Corrections Log</w:t>
      </w:r>
    </w:p>
    <w:p>
      <w:r>
        <w:t>In compliance with institutional risk governance, this revision documents every material methodological flaw identified in the initial draft, the specific arithmetic/statistical correction applied, and the resulting audit status: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Audit Area / Original Claim</w:t>
            </w:r>
          </w:p>
        </w:tc>
        <w:tc>
          <w:tcPr>
            <w:tcW w:type="dxa" w:w="2484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Original Defect / Methodological Failure</w:t>
            </w:r>
          </w:p>
        </w:tc>
        <w:tc>
          <w:tcPr>
            <w:tcW w:type="dxa" w:w="2484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Corrected Quantitative Status</w:t>
            </w:r>
          </w:p>
        </w:tc>
        <w:tc>
          <w:tcPr>
            <w:tcW w:type="dxa" w:w="2484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6"/>
              </w:rPr>
              <w:t>Audit Verdict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Negative Control Count: 35,365 stock-days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Failed base reconciliation by 688 stock-days (37,308 - 1,255 = 36,053). Caused by silent deletion of zero-return tie records on holiday/illiquid sessions.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Reconciled base: 36,053 true negative controls. All control rates recalculated against full population.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EBF5FB"/>
          </w:tcPr>
          <w:p>
            <w:r>
              <w:rPr>
                <w:b/>
                <w:sz w:val="15"/>
              </w:rPr>
              <w:t>RECONCILED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Causal Categories: 87.8% Sum (6 classes)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12.2% (153 events) was unaccounted for; overlapping categories were asserted without mutual exclusivity testing.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Explicit 12.2% 'Unclassified / Multi-Factor Residual' bucket added. Causal language downgraded to correlational association.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  <w:shd w:fill="EBF5FB"/>
          </w:tcPr>
          <w:p>
            <w:r>
              <w:rPr>
                <w:b/>
                <w:sz w:val="15"/>
              </w:rPr>
              <w:t>RECONCILED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Sector Concentration: 'Over 73%' across Top 3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Blatant arithmetic inflation: actual empirical census shows Top 3 sectors account for only 49.40% (620/1,255). Financials was claimed at 38.2% vs actual 25.26%.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Recomputed from census: Financials 25.26% [22.92%, 27.74%], Capital Goods 15.62% [13.71%, 17.73%], Healthcare 8.53% [7.10%, 10.20%]. Total: 49.40%.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EBF5FB"/>
          </w:tcPr>
          <w:p>
            <w:r>
              <w:rPr>
                <w:b/>
                <w:sz w:val="15"/>
              </w:rPr>
              <w:t>CORRECTED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Coiled Spring Factor: Top 46.2% vs Ctrl 33.1%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Fabricated control rate. Actual empirical control rate is 51.80%. Non-winners are MORE clustered near 20-DMA than winners. Edge was inverted.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Corrected: Top-5 = 46.22% [43.47%, 48.98%], Control = 51.80% [51.28%, 52.31%]. Disclosed as negative predictor for breakout velocity.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  <w:shd w:fill="EBF5FB"/>
          </w:tcPr>
          <w:p>
            <w:r>
              <w:rPr>
                <w:b/>
                <w:sz w:val="15"/>
              </w:rPr>
              <w:t>CORRECTED / INVERTED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Counter-Trend Alpha: 50.6% on Down Days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No significance testing. Binomial test against 50% null yields p = 0.6927 (z = 0.42). Statistically indistinguishable from a random coin toss.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Reclassified as random binomial noise (p = 0.6927). Removed from active alpha thesis; tagged as unvalidated regime artifact.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DEDEC"/>
          </w:tcPr>
          <w:p>
            <w:r>
              <w:rPr>
                <w:b/>
                <w:sz w:val="15"/>
              </w:rPr>
              <w:t>RETRACTED AS ALPHA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Selection on Dependent Variable (No Denominator)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Conditioning entirely on winners (Y in Top 5). Pre-trade screening rules in Section 7 concealed a 96.03% False Positive Rate (precision = 3.97%).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Full 2x2 contingency tables, precision, recall, false positive rates, and specificity computed for every single and combined filter.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  <w:shd w:fill="EBF5FB"/>
          </w:tcPr>
          <w:p>
            <w:r>
              <w:rPr>
                <w:b/>
                <w:sz w:val="15"/>
              </w:rPr>
              <w:t>METHODOLOGY FIXED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Absence of Multiple Testing Controls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Dozens of technical permutations tested without FWER or FDR corrections, producing false discoveries by random chance.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Benjamini-Hochberg False Discovery Rate (FDR) applied (alpha = 0.05). Neutral RSI (p=0.96) and 52W High (p=0.94) flagged as NOT SIGNIFICANT.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EBF5FB"/>
          </w:tcPr>
          <w:p>
            <w:r>
              <w:rPr>
                <w:b/>
                <w:sz w:val="15"/>
              </w:rPr>
              <w:t>STATISTICALLY RIGOROUS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Case Studies (NIACL, TATAINVEST, GVT&amp;D, BSE, JSL, IDEA)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Reverse-engineered narratives, multi-day post-announcement lags (JSL 5-day lag), sub-threshold volume cherry-picks (BSE 1.28x vol), and ad-hoc multi-day returns (IDEA).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Each case audited with independent regulatory/news citations. JSL &amp; TATAINVEST reclassified as lagged explanations; BSE sub-threshold noted; IDEA removed from daily census.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  <w:shd w:fill="FDEDEC"/>
          </w:tcPr>
          <w:p>
            <w:r>
              <w:rPr>
                <w:b/>
                <w:sz w:val="15"/>
              </w:rPr>
              <w:t>AUDITED &amp; RECLASSIFIED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2042"/>
        </w:rPr>
        <w:t>2. Complete Data &amp; Methodology Transparency</w:t>
      </w:r>
    </w:p>
    <w:p>
      <w:r>
        <w:t>To guarantee full institutional reproducibility, this section specifies the precise data pipeline, corporate action mechanics, index rebalancing constraints, and statistical test formulations:</w:t>
      </w:r>
    </w:p>
    <w:p>
      <w:r>
        <w:rPr>
          <w:b/>
        </w:rPr>
        <w:t>2.1 Data Vendor, Adjustments &amp; Circuit Filter Mechanics</w:t>
        <w:br/>
      </w:r>
      <w:r>
        <w:t>• Pricing Source: Historical daily Open, High, Low, Close, and Volume (OHLCV) were compiled from National Stock Exchange (NSE) Bhavcopy feeds.</w:t>
        <w:br/>
        <w:t>• Corporate Actions: All prices are split- and bonus-adjusted backwards using NSE official corporate action ratio schedules. Cash dividends are not reinvested into price series (pure price return).</w:t>
        <w:br/>
        <w:t>• Circuit Band Execution Constraints: Mid-cap stocks on the NSE trade under 5%, 10%, or 20% daily price bands. A critical methodological flaw of standard backtests is assuming fills at the opening price when a stock opens locked at the upper circuit. In our revised model, any stock opening at the upper circuit ceiling without ask-side depth is marked as 'UNFILLABLE' for long trades.</w:t>
        <w:br/>
        <w:t>• Point-in-Time Universe vs Static List: The dataset uses the AMFI Mid-Cap universe (Rank 101–250 by six-month average market capitalization) reconstituted semi-annually (March and September). The current dataset reflects a static 150-ticker list across the 12-month period; true point-in-time constituent dynamic tracking requires historical AMFI constituent archives, marked as a known survivorship limitation below.</w:t>
        <w:br/>
        <w:t>• Reproducibility Statement: All underlying census datasets ('top5_daily_enriched.csv', N=1,255; 'all_midcap_stock_days_1year.pkl', N=37,308) and statistical computation scripts ('compute_contingency.py') are preserved in the workspace for independent replication.</w:t>
      </w:r>
    </w:p>
    <w:p>
      <w:pPr>
        <w:pStyle w:val="Heading1"/>
      </w:pPr>
      <w:r>
        <w:rPr>
          <w:color w:val="0F2042"/>
        </w:rPr>
        <w:t>3. Empirical 2x2 Contingency Analysis &amp; Significance Testing</w:t>
      </w:r>
    </w:p>
    <w:p>
      <w:r>
        <w:t>To eliminate survivorship bias, every proposed factor is evaluated against the full population of 37,308 stock-days (1,255 Top-5 winners and 36,053 negative controls). We report the complete 2x2 matrix: True Positives (TP), False Positives (FP), False Negatives (FN), True Negatives (TN), along with Wilson 95% Score Confidence Intervals, Precision (True Positive Rate), False Positive Rate, and Benjamini-Hochberg False Discovery Rate (BH-FDR) significance flags: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0F2042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5"/>
              </w:rPr>
              <w:t>Factor / Rule</w:t>
            </w:r>
          </w:p>
        </w:tc>
        <w:tc>
          <w:tcPr>
            <w:tcW w:type="dxa" w:w="1242"/>
            <w:shd w:fill="0F2042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5"/>
              </w:rPr>
              <w:t>TP</w:t>
            </w:r>
          </w:p>
        </w:tc>
        <w:tc>
          <w:tcPr>
            <w:tcW w:type="dxa" w:w="1242"/>
            <w:shd w:fill="0F2042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5"/>
              </w:rPr>
              <w:t>FP</w:t>
            </w:r>
          </w:p>
        </w:tc>
        <w:tc>
          <w:tcPr>
            <w:tcW w:type="dxa" w:w="1242"/>
            <w:shd w:fill="0F2042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5"/>
              </w:rPr>
              <w:t>Top-5 Sensitivity [95% CI]</w:t>
            </w:r>
          </w:p>
        </w:tc>
        <w:tc>
          <w:tcPr>
            <w:tcW w:type="dxa" w:w="1242"/>
            <w:shd w:fill="0F2042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5"/>
              </w:rPr>
              <w:t>Control Base Rate [95% CI]</w:t>
            </w:r>
          </w:p>
        </w:tc>
        <w:tc>
          <w:tcPr>
            <w:tcW w:type="dxa" w:w="1242"/>
            <w:shd w:fill="0F2042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5"/>
              </w:rPr>
              <w:t>Precision (Win Rate)</w:t>
            </w:r>
          </w:p>
        </w:tc>
        <w:tc>
          <w:tcPr>
            <w:tcW w:type="dxa" w:w="1242"/>
            <w:shd w:fill="0F2042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5"/>
              </w:rPr>
              <w:t>p-value</w:t>
            </w:r>
          </w:p>
        </w:tc>
        <w:tc>
          <w:tcPr>
            <w:tcW w:type="dxa" w:w="1242"/>
            <w:shd w:fill="0F2042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5"/>
              </w:rPr>
              <w:t>BH-FDR Sig</w:t>
            </w:r>
          </w:p>
        </w:tc>
      </w:tr>
      <w:tr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Positive Gap (&gt; 0%)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4"/>
              </w:rPr>
              <w:t>905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4"/>
              </w:rPr>
              <w:t>20,276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72.11% [69.57%, 74.52%]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56.24% [55.73%, 56.75%]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4"/>
              </w:rPr>
              <w:t>4.27%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4"/>
              </w:rPr>
              <w:t>9.08e-29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Upper Quartile Close (RngPos &gt;= 0.75)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901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7,497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71.79% [69.24%, 74.21%]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20.79% [20.38%, 21.22%]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10.73%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&lt; 1e-15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Volume Expansion (VolRatio &gt;= 1.5x)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4"/>
              </w:rPr>
              <w:t>878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4"/>
              </w:rPr>
              <w:t>4,881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69.96% [67.37%, 72.43%]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13.54% [13.19%, 13.90%]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4"/>
              </w:rPr>
              <w:t>15.25%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4"/>
              </w:rPr>
              <w:t>&lt; 1e-15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Extreme Volume (VolRatio &gt;= 2.0x)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714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2,480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56.89% [54.14%, 59.61%]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6.88% [6.62%, 7.14%]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22.35%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&lt; 1e-15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Coiling Base (SMA20 +/- 3%)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4"/>
              </w:rPr>
              <w:t>580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4"/>
              </w:rPr>
              <w:t>18,675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46.22% [43.47%, 48.98%]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51.80% [51.28%, 52.31%]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4"/>
              </w:rPr>
              <w:t>3.01%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4"/>
              </w:rPr>
              <w:t>1.12e-04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DF2E9"/>
          </w:tcPr>
          <w:p>
            <w:r>
              <w:rPr>
                <w:b/>
                <w:sz w:val="14"/>
              </w:rPr>
              <w:t>TRUE (INVERTED)</w:t>
            </w:r>
          </w:p>
        </w:tc>
      </w:tr>
      <w:tr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Neutral RSI (40 &lt;= RSI &lt;= 60)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524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15,013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41.75% [39.05%, 44.50%]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41.64% [41.13%, 42.15%]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3.37%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0.9604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  <w:shd w:fill="FDF2E9"/>
          </w:tcPr>
          <w:p>
            <w:r>
              <w:rPr>
                <w:b/>
                <w:sz w:val="14"/>
              </w:rPr>
              <w:t>FALSE (NOISE)</w:t>
            </w:r>
          </w:p>
        </w:tc>
      </w:tr>
      <w:tr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Oversold Base (RSI &lt; 40)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4"/>
              </w:rPr>
              <w:t>324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4"/>
              </w:rPr>
              <w:t>10,990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25.82% [23.47%, 28.31%]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30.48% [30.01%, 30.96%]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4"/>
              </w:rPr>
              <w:t>2.86%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4"/>
              </w:rPr>
              <w:t>4.58e-04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DF2E9"/>
          </w:tcPr>
          <w:p>
            <w:r>
              <w:rPr>
                <w:b/>
                <w:sz w:val="14"/>
              </w:rPr>
              <w:t>TRUE (INVERTED)</w:t>
            </w:r>
          </w:p>
        </w:tc>
      </w:tr>
      <w:tr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Near 52W High (Within 10%)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431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12,436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34.34% [31.77%, 37.01%]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34.49% [34.00%, 34.99%]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3.35%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0.9359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  <w:shd w:fill="FDF2E9"/>
          </w:tcPr>
          <w:p>
            <w:r>
              <w:rPr>
                <w:b/>
                <w:sz w:val="14"/>
              </w:rPr>
              <w:t>FALSE (NOISE)</w:t>
            </w:r>
          </w:p>
        </w:tc>
      </w:tr>
      <w:tr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Layer 1+2 Pre-Trade (SMA + Gap)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4"/>
              </w:rPr>
              <w:t>267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4"/>
              </w:rPr>
              <w:t>6,465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21.27% [19.10%, 23.63%]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17.93% [17.54%, 18.33%]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4"/>
              </w:rPr>
              <w:t>3.97%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4"/>
              </w:rPr>
              <w:t>2.79e-03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Layer 1+2+3 Combined (EOD Vol+Rng)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113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93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9.00% [7.54%, 10.72%]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0.26% [0.21%, 0.32%]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54.85%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pPr>
              <w:jc w:val="right"/>
            </w:pPr>
            <w:r>
              <w:rPr>
                <w:sz w:val="14"/>
              </w:rPr>
              <w:t>&lt; 1e-15</w:t>
            </w:r>
          </w:p>
        </w:tc>
        <w:tc>
          <w:tcPr>
            <w:tcW w:type="dxa" w:w="1242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  <w:shd w:fill="FDF2E9"/>
          </w:tcPr>
          <w:p>
            <w:r>
              <w:rPr>
                <w:b/>
                <w:sz w:val="14"/>
              </w:rPr>
              <w:t>TRUE (EOD LOOKAHEAD)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2042"/>
        </w:rPr>
        <w:t>4. Associated Catalysts &amp; Sector Breakdown (Reconciled)</w:t>
      </w:r>
    </w:p>
    <w:p>
      <w:r>
        <w:t>All causal assertions are formally downgraded to 'Associated Mechanisms (Correlational, Non-Causal)' pending controlled event-study diff-in-diff testing. The six categories are reconciled below to 100% of the 1,255 events by including the missing 12.2% residual bucket: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204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b/>
                <w:color w:val="FFFFFF"/>
                <w:sz w:val="16"/>
              </w:rPr>
              <w:t>Catalytic Archetype</w:t>
            </w:r>
          </w:p>
        </w:tc>
        <w:tc>
          <w:tcPr>
            <w:tcW w:type="dxa" w:w="2484"/>
            <w:shd w:fill="0F204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b/>
                <w:color w:val="FFFFFF"/>
                <w:sz w:val="16"/>
              </w:rPr>
              <w:t>Event Count</w:t>
            </w:r>
          </w:p>
        </w:tc>
        <w:tc>
          <w:tcPr>
            <w:tcW w:type="dxa" w:w="2484"/>
            <w:shd w:fill="0F204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b/>
                <w:color w:val="FFFFFF"/>
                <w:sz w:val="16"/>
              </w:rPr>
              <w:t>Frequency [95% CI]</w:t>
            </w:r>
          </w:p>
        </w:tc>
        <w:tc>
          <w:tcPr>
            <w:tcW w:type="dxa" w:w="2484"/>
            <w:shd w:fill="0F204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b/>
                <w:color w:val="FFFFFF"/>
                <w:sz w:val="16"/>
              </w:rPr>
              <w:t>Associated Mechanism (Correlational Status)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Quarterly Earnings Surprises &amp; Margin Beats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267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21.27% [19.10%, 23.66%]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Correlated with guidance upgrades; high clustering in Jan/Apr/Jul/Oct earnings windows.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Transformational Mega Contracts &amp; L1 Bids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233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18.57% [16.52%, 20.87%]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Order book expansion exceeding 1.5x revenue; prone to speculative front-running before filings.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Insider Promoter Creeping Open-Market Buys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178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14.18% [12.37%, 16.24%]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SEBI SAST Regulation 29 disclosures; price reactions often exhibit multi-day transmission lag.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Corporate Asset Revaluation &amp; Spinoffs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156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12.43% [10.68%, 14.37%]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Highest single-day outlier magnitude (&gt;10% to 20%); discrete event with unpredictable announcement date.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Regulatory Policy Clarifications &amp; Relief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144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11.47% [9.84%, 13.41%]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Oversold short-covering following removal of worst-case regulatory discount models.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Debt Refinancing &amp; Solvency De-Risking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123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jc w:val="right"/>
            </w:pPr>
            <w:r>
              <w:rPr>
                <w:sz w:val="15"/>
              </w:rPr>
              <w:t>9.80% [8.27%, 11.59%]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High-beta relief rallies in distressed infrastructure/telecom; volatile multi-day duration.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Unclassified Residual / Multi-Factor Noise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154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5"/>
              </w:rPr>
              <w:t>12.27% [10.55%, 14.22%]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Residual bucket: technical momentum without news, algorithmic flow imbalance, or pump-and-dump drift.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EBF5FB"/>
          </w:tcPr>
          <w:p>
            <w:r>
              <w:rPr>
                <w:b/>
                <w:sz w:val="15"/>
              </w:rPr>
              <w:t>Total Census Baseline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EBF5FB"/>
          </w:tcPr>
          <w:p>
            <w:pPr>
              <w:jc w:val="right"/>
            </w:pPr>
            <w:r>
              <w:rPr>
                <w:b/>
                <w:sz w:val="15"/>
              </w:rPr>
              <w:t>1,255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EBF5FB"/>
          </w:tcPr>
          <w:p>
            <w:pPr>
              <w:jc w:val="right"/>
            </w:pPr>
            <w:r>
              <w:rPr>
                <w:b/>
                <w:sz w:val="15"/>
              </w:rPr>
              <w:t>100.00%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EBF5FB"/>
          </w:tcPr>
          <w:p>
            <w:r>
              <w:rPr>
                <w:b/>
                <w:sz w:val="15"/>
              </w:rPr>
              <w:t>Complete mathematical reconciliation without omitted events or unstated category leakage.</w:t>
            </w:r>
          </w:p>
        </w:tc>
      </w:tr>
    </w:tbl>
    <w:p>
      <w:pPr>
        <w:spacing w:before="240"/>
      </w:pPr>
    </w:p>
    <w:p>
      <w:r>
        <w:rPr>
          <w:b/>
        </w:rPr>
        <w:t>Sector Concentration Reconciliation:</w:t>
        <w:br/>
      </w:r>
      <w:r>
        <w:t>The original claim of 'over 73%' sector concentration is formally retracted. Exact empirical breakdown across all 1,255 events:</w:t>
        <w:br/>
        <w:t>• Financial Services: 317 events (25.26%, 95% CI: [22.92%, 27.74%])</w:t>
        <w:br/>
        <w:t>• Capital Goods: 196 events (15.62%, 95% CI: [13.71%, 17.73%])</w:t>
        <w:br/>
        <w:t>• Healthcare: 107 events (8.53%, 95% CI: [7.10%, 10.20%])</w:t>
        <w:br/>
        <w:t>• Information Technology: 86 events (6.85%, 95% CI: [5.56%, 8.40%])</w:t>
        <w:br/>
        <w:t>• Metals &amp; Mining: 60 events (4.78%, 95% CI: [3.72%, 6.11%])</w:t>
        <w:br/>
        <w:t>• Consumer Durables: 59 events (4.70%, 95% CI: [3.65%, 6.02%])</w:t>
        <w:br/>
        <w:t>• Telecommunication: 58 events (4.62%, 95% CI: [3.58%, 5.94%])</w:t>
        <w:br/>
        <w:t>• Other 12 Sectors: 372 events (29.64%, 95% CI: [27.18%, 32.24%])</w:t>
        <w:br/>
        <w:t>Reconciled Top-3 Concentration: 620 / 1,255 = 49.40% (95% CI: [46.64%, 52.17%]).</w:t>
      </w:r>
    </w:p>
    <w:p>
      <w:r>
        <w:br w:type="page"/>
      </w:r>
    </w:p>
    <w:p>
      <w:pPr>
        <w:pStyle w:val="Heading1"/>
      </w:pPr>
      <w:r>
        <w:rPr>
          <w:color w:val="0F2042"/>
        </w:rPr>
        <w:t>5. Case-Study Verification &amp; Source Audit</w:t>
      </w:r>
    </w:p>
    <w:p>
      <w:r>
        <w:t>Every named case example from the original report has been verified against independent primary regulatory filings and financial media. Where post-hoc narrative fitting or timing disconnects exist, the example is formally reclassified: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2042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5"/>
              </w:rPr>
              <w:t>Stock Symbol &amp; Move</w:t>
            </w:r>
          </w:p>
        </w:tc>
        <w:tc>
          <w:tcPr>
            <w:tcW w:type="dxa" w:w="1987"/>
            <w:shd w:fill="0F2042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5"/>
              </w:rPr>
              <w:t>Stated Catalyst</w:t>
            </w:r>
          </w:p>
        </w:tc>
        <w:tc>
          <w:tcPr>
            <w:tcW w:type="dxa" w:w="1987"/>
            <w:shd w:fill="0F2042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5"/>
              </w:rPr>
              <w:t>Primary Sources &amp; Citations</w:t>
            </w:r>
          </w:p>
        </w:tc>
        <w:tc>
          <w:tcPr>
            <w:tcW w:type="dxa" w:w="1987"/>
            <w:shd w:fill="0F2042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5"/>
              </w:rPr>
              <w:t>Timing Verification</w:t>
            </w:r>
          </w:p>
        </w:tc>
        <w:tc>
          <w:tcPr>
            <w:tcW w:type="dxa" w:w="1987"/>
            <w:shd w:fill="0F2042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5"/>
              </w:rPr>
              <w:t>Peer-Review Reclassification</w:t>
            </w:r>
          </w:p>
        </w:tc>
      </w:tr>
      <w:tr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NIACL (+17.70%)</w:t>
              <w:br/>
              <w:t>04/09/2026</w:t>
              <w:br/>
              <w:t>Rank 1 (16.76x vol)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NSE IPO filing (₹22,569 cr); NIACL sells 1.05 cr OFS shares (~₹1,850 cr cash gain).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1. NSE Draft Red Herring Prospectus (DRHP) filed Sept 2026.</w:t>
              <w:br/>
              <w:t>2. Economic Times (04/09/2026).</w:t>
              <w:br/>
              <w:t>3. Kotak Neo / BSE Corporate Disclosures.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Catalyst was published pre-market on 04/09/2026. Price opened locked near upper limit.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  <w:shd w:fill="EBF5FB"/>
          </w:tcPr>
          <w:p>
            <w:r>
              <w:rPr>
                <w:b/>
                <w:sz w:val="14"/>
              </w:rPr>
              <w:t>RETAINED: Verified Associated Catalyst. Note: Real execution would have suffered upper-circuit lockout / severe buy slippage.</w:t>
            </w:r>
          </w:p>
        </w:tc>
      </w:tr>
      <w:tr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TATAINVEST (+10.36%)</w:t>
              <w:br/>
              <w:t>15/09/2026</w:t>
              <w:br/>
              <w:t>Rank 1 (43.48x vol)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RBI rejects Tata Sons' application to surrender Upper Layer NBFC registration.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1. RBI formal rejection letter dated 11/09/2026.</w:t>
              <w:br/>
              <w:t>2. Economic Times / India Today (12/09/2026).</w:t>
              <w:br/>
              <w:t>3. Tata Sons Board Notice (17/09/2026).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TIMING DISCONNECT: Rejection occurred on Friday 11/09/2026; stock surged on Tuesday 15/09/2026 (4-day lag).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  <w:shd w:fill="FEF9E7"/>
          </w:tcPr>
          <w:p>
            <w:r>
              <w:rPr>
                <w:b/>
                <w:sz w:val="14"/>
              </w:rPr>
              <w:t>RECLASSIFIED: Post-Hoc Explanation / Lagged Diffusion. Not capturable by an 08:45 IST intraday news parser.</w:t>
            </w:r>
          </w:p>
        </w:tc>
      </w:tr>
      <w:tr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GVT&amp;D (+8.77%)</w:t>
              <w:br/>
              <w:t>08/09/2026</w:t>
              <w:br/>
              <w:t>Rank 1 (5.00x vol)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Power Grid 6,000 MW HVDC tender L1 bid (~₹13,000 cr); Nomura ₹6,000 target.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1. Nomura Institutional Equity Note (08/09/2026).</w:t>
              <w:br/>
              <w:t>2. PGCIL Barmer-II Tender Bid Evaluation.</w:t>
              <w:br/>
              <w:t>3. GE Vernova T&amp;D NSE Disclosures.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Tender result leaked/reported 07/09/2026; Nomura note released morning of 08/09/2026.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  <w:shd w:fill="EBF5FB"/>
          </w:tcPr>
          <w:p>
            <w:r>
              <w:rPr>
                <w:b/>
                <w:sz w:val="14"/>
              </w:rPr>
              <w:t>RETAINED: Verified Tender Win / Brokerage Upgrade. Note: Contract size was a sell-side estimate, not in statutory filings.</w:t>
            </w:r>
          </w:p>
        </w:tc>
      </w:tr>
      <w:tr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BSE (+4.36%)</w:t>
              <w:br/>
              <w:t>03/09/2026</w:t>
              <w:br/>
              <w:t>Rank 3 (1.28x vol)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SEBI review of Closing Auction Session (CAS) derivatives settlement methodology.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1. Fortune India (03/09/2026).</w:t>
              <w:br/>
              <w:t>2. 5paisa Market Wrap (03/09/2026).</w:t>
              <w:br/>
              <w:t>3. SEBI Consultation Paper (12/09/2026).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Intraday rebound from ₹3,131 low following market rumors of SEBI review.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  <w:shd w:fill="FEF9E7"/>
          </w:tcPr>
          <w:p>
            <w:r>
              <w:rPr>
                <w:b/>
                <w:sz w:val="14"/>
              </w:rPr>
              <w:t>RECLASSIFIED: Sub-Threshold Cherry-Pick. Volume ratio was only 1.28x, violating the author's own 1.5x/2.0x volume rule.</w:t>
            </w:r>
          </w:p>
        </w:tc>
      </w:tr>
      <w:tr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JSL (+6.03%)</w:t>
              <w:br/>
              <w:t>09/09/2026</w:t>
              <w:br/>
              <w:t>Rank 1 (13.41x vol)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Promoter entity JSL Overseas bought 641,817 shares, raising stake to 17.20%.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1. SEBI SAST Reg 29(2) Disclosures (05/09/2026).</w:t>
              <w:br/>
              <w:t>2. TradeBrains / FlipIt Money Reports.</w:t>
              <w:br/>
              <w:t>3. BSE Shareholding filings.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4"/>
              </w:rPr>
              <w:t>SEVERE TEMPORAL DISCONNECT: Market purchases occurred on 03/09 and 04/09. Price surged on 09/09 (5-day lag).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  <w:shd w:fill="FEF9E7"/>
          </w:tcPr>
          <w:p>
            <w:r>
              <w:rPr>
                <w:b/>
                <w:sz w:val="14"/>
              </w:rPr>
              <w:t>RECLASSIFIED: Post-Hoc Narrative Fitting. Attributing a surge on Sept 9 directly to trades from Sept 3 is scientifically unprovable.</w:t>
            </w:r>
          </w:p>
        </w:tc>
      </w:tr>
      <w:tr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IDEA ('+8.86% multi-day')</w:t>
              <w:br/>
              <w:t>Early Sep 2026</w:t>
              <w:br/>
              <w:t>Multi-day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SBI anchors ₹35,000 cr 10-year loan consortium for network CapEx.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1. Economic Times (02/09/2026).</w:t>
              <w:br/>
              <w:t>2. Communications Today (Sept 2026).</w:t>
              <w:br/>
              <w:t>3. Vi Stock Exchange Filings.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</w:tcPr>
          <w:p>
            <w:r>
              <w:rPr>
                <w:sz w:val="14"/>
              </w:rPr>
              <w:t>METRIC INCONSISTENCY: Dataset shows Sept 1–7 move was +10.95%; Sept 2–7 was +7.36%. Never a single-day Top-5 outlier.</w:t>
            </w:r>
          </w:p>
        </w:tc>
        <w:tc>
          <w:tcPr>
            <w:tcW w:type="dxa" w:w="1987"/>
            <w:tcMar>
              <w:top w:w="25" w:type="dxa"/>
              <w:bottom w:w="25" w:type="dxa"/>
              <w:left w:w="35" w:type="dxa"/>
              <w:right w:w="35" w:type="dxa"/>
            </w:tcMar>
            <w:shd w:fill="F9FAFC"/>
            <w:shd w:fill="FDEDEC"/>
          </w:tcPr>
          <w:p>
            <w:r>
              <w:rPr>
                <w:b/>
                <w:sz w:val="14"/>
              </w:rPr>
              <w:t>REMOVED: Excised from daily Top-5 census. Reclassified as qualitative multi-day case study.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2042"/>
        </w:rPr>
        <w:t>6. Generalizability, Regime Dependence &amp; Statistical Null Tests</w:t>
      </w:r>
    </w:p>
    <w:p>
      <w:r>
        <w:t>A quantitative factor must survive out-of-sample stress testing across disparate macro regimes before it can be deemed structural alpha:</w:t>
      </w:r>
    </w:p>
    <w:p>
      <w:r>
        <w:t>1. Formal Test of Counter-Trend Decoupling Against 50% Null:</w:t>
        <w:br/>
        <w:t xml:space="preserve">   • Observed: 635 out of 1,255 Top-5 gainers occurred on days when NIFTY 50 closed negative (50.60%).</w:t>
        <w:br/>
        <w:t xml:space="preserve">   • Two-Sided Binomial Test: H0: p = 0.50. Exact Binomial p-value = 0.6927 (z = 0.425, SE = 1.41%).</w:t>
        <w:br/>
        <w:t xml:space="preserve">   • Conclusion: The finding is completely consistent with random noise. The claim that 'institutional capital counter-cyclically concentrates into mid-cap idiosyncratic catalysts during market risk-off' is formally RETRACTED.</w:t>
        <w:br/>
        <w:br/>
        <w:t>2. Formal Test of Coiled Spring Consolidation Against 50% Null:</w:t>
        <w:br/>
        <w:t xml:space="preserve">   • Observed: 580 out of 1,255 Top-5 gainers were within +/- 3% of 20-DMA (46.22%).</w:t>
        <w:br/>
        <w:t xml:space="preserve">   • Two-Sided Binomial Test: H0: p = 0.50. p-value = 0.0079.</w:t>
        <w:br/>
        <w:t xml:space="preserve">   • Negative Control Rate: 18,675 out of 36,053 (51.80%).</w:t>
        <w:br/>
        <w:t xml:space="preserve">   • Conclusion: While statistically significant, the sign is INVERTED. Non-winning stocks are significantly more clustered around their 20-DMA (51.80%) than top gainers (46.22%). Filtering for stocks near their 20-DMA actively biases the portfolio toward stagnant non-movers.</w:t>
        <w:br/>
        <w:br/>
        <w:t>3. Regime-Specific Caveat &amp; Out-of-Sample Limitation:</w:t>
        <w:br/>
        <w:t xml:space="preserve">   • All findings are mined from a single 12-month window (Sept 2025 – Sept 2026) characterized by aggressive domestic retail inflows, robust DII liquidity, and an accommodating macroeconomic environment.</w:t>
        <w:br/>
        <w:t xml:space="preserve">   • UNVALIDATED OUT-OF-SAMPLE: Zero testing has been conducted across bear regimes (e.g., 2022 rate-tightening cycle), systemic liquidation crashes (March 2020), or prolonged mid-cap drawdowns (2018–2019). Until multi-year cross-regime validation is completed, all retained factors must be treated as regime-specific hypothesis generators.</w:t>
      </w:r>
    </w:p>
    <w:p>
      <w:pPr>
        <w:pStyle w:val="Heading1"/>
      </w:pPr>
      <w:r>
        <w:rPr>
          <w:color w:val="0F2042"/>
        </w:rPr>
        <w:t>7. Validated Use Framework: What Can Inform Real Capital?</w:t>
      </w:r>
    </w:p>
    <w:p>
      <w:r>
        <w:t>The Institutional Risk Committee mandates a clean bifurcation between factors that possess verifiable quantitative edges versus rules that must be quarantined from execution engines: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204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b/>
                <w:color w:val="FFFFFF"/>
                <w:sz w:val="16"/>
              </w:rPr>
              <w:t>Strategy Component / Factor</w:t>
            </w:r>
          </w:p>
        </w:tc>
        <w:tc>
          <w:tcPr>
            <w:tcW w:type="dxa" w:w="2484"/>
            <w:shd w:fill="0F204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b/>
                <w:color w:val="FFFFFF"/>
                <w:sz w:val="16"/>
              </w:rPr>
              <w:t>Current Empirical Status</w:t>
            </w:r>
          </w:p>
        </w:tc>
        <w:tc>
          <w:tcPr>
            <w:tcW w:type="dxa" w:w="2484"/>
            <w:shd w:fill="0F204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b/>
                <w:color w:val="FFFFFF"/>
                <w:sz w:val="16"/>
              </w:rPr>
              <w:t>Permitted Institutional Use</w:t>
            </w:r>
          </w:p>
        </w:tc>
        <w:tc>
          <w:tcPr>
            <w:tcW w:type="dxa" w:w="2484"/>
            <w:shd w:fill="0F2042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r>
              <w:rPr>
                <w:b/>
                <w:color w:val="FFFFFF"/>
                <w:sz w:val="16"/>
              </w:rPr>
              <w:t>Mandatory Testing Before Deployment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Closing Upper Quartile (Range Pos &gt;= 0.75)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ROBUST &amp; SIGNIFICANT (p &lt; 1e-15, Top-5 71.79% vs Ctrl 20.79%)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E8F8F5"/>
          </w:tcPr>
          <w:p>
            <w:r>
              <w:rPr>
                <w:b/>
                <w:sz w:val="15"/>
              </w:rPr>
              <w:t>VALIDATED for Trade Management / Trailing Stops / EOD Exit Rules.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Test intraday proxy (e.g. 14:30 Range Pos) to eliminate end-of-day lookahead bias.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Volume Thrust (Vol Ratio &gt;= 2.0x)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ROBUST &amp; SIGNIFICANT (p &lt; 1e-15, Top-5 56.89% vs Ctrl 6.88%)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  <w:shd w:fill="E8F8F5"/>
          </w:tcPr>
          <w:p>
            <w:r>
              <w:rPr>
                <w:b/>
                <w:sz w:val="15"/>
              </w:rPr>
              <w:t>VALIDATED for Intraday Momentum Confirmation &amp; Sizing Scalers.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Measure volume acceleration curve across 15-min bars (09:15–10:00 IST) to verify early capture.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Pre-Market News Scrapers (Section 7 Layer 1 NLP)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UNVALIDATED — PLACEHOLDER (No empirical parser or backtested latency data)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DEDEC"/>
          </w:tcPr>
          <w:p>
            <w:r>
              <w:rPr>
                <w:b/>
                <w:sz w:val="15"/>
              </w:rPr>
              <w:t>QUARANTINED. Strictly prohibited from driving automated orders.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Build discrete event-study pipeline; measure latency, false-positive headline rate, and upper-circuit fill rates.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Pre-Move Consolidation Base (SMA20 +/- 3%)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REJECTED / INVERTED (Ctrl 51.80% &gt; Top-5 46.22%, p = 1.12e-4)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  <w:shd w:fill="FDEDEC"/>
          </w:tcPr>
          <w:p>
            <w:r>
              <w:rPr>
                <w:b/>
                <w:sz w:val="15"/>
              </w:rPr>
              <w:t>EXCISED. Must be removed from screening filters.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Re-test using true volatility contraction (ATR / Bollinger Band squeeze) rather than raw SMA distance.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Counter-Trend Market Decoupling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REJECTED (Binomial p = 0.6927 vs 50% null)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DEDEC"/>
          </w:tcPr>
          <w:p>
            <w:r>
              <w:rPr>
                <w:b/>
                <w:sz w:val="15"/>
              </w:rPr>
              <w:t>EXCISED. Do not deploy counter-trend capital during down-market sessions.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Test whether alpha spreads persist conditioned on market regime (VIX &gt; 20 vs VIX &lt; 15).</w:t>
            </w:r>
          </w:p>
        </w:tc>
      </w:tr>
      <w:tr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Layer 1+2 Screening Engine (Gap + Coiling)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SEVERE FALSE POSITIVE RISK (FPR = 96.03%, Precision = 3.97%)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  <w:shd w:fill="FDEDEC"/>
          </w:tcPr>
          <w:p>
            <w:r>
              <w:rPr>
                <w:b/>
                <w:sz w:val="15"/>
              </w:rPr>
              <w:t>PROHIBITED from unconstrained automated execution.</w:t>
            </w:r>
          </w:p>
        </w:tc>
        <w:tc>
          <w:tcPr>
            <w:tcW w:type="dxa" w:w="2484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r>
              <w:rPr>
                <w:sz w:val="15"/>
              </w:rPr>
              <w:t>Develop machine-learning negative classifier to prune the 6,465 false positives before order submission.</w:t>
            </w:r>
          </w:p>
        </w:tc>
      </w:tr>
    </w:tbl>
    <w:p>
      <w:pPr>
        <w:spacing w:before="320"/>
      </w:pPr>
    </w:p>
    <w:p>
      <w:r>
        <w:rPr>
          <w:b/>
          <w:color w:val="0F2042"/>
          <w:sz w:val="22"/>
        </w:rPr>
        <w:t>Executive Capital Allocation Verdict:</w:t>
        <w:br/>
      </w:r>
      <w:r>
        <w:t>Institutional capital allocation against the Section 7 architecture remains CONDITIONAL and RESTRICTED. While intraday volume expansion and upper-quartile closing range position represent genuine, highly significant statistical signals (p &lt; 1e-15) that separate real institutional accumulation from distribution traps, the front-end candidate generation rules (Layer 1 Base Coiling and Opening Gap) suffer from a catastrophic 96.03% False Positive Rate that will bleed capital through churn and bid-ask slippage. Furthermore, the pre-market NLP catalyst pipeline is currently an unvalidated theoretical placeholder lacking event-study verification and circuit-lockout modeling. Capital deployment must be capped strictly to paper trading or micro-allocation (&lt;2% AUM) solely utilizing intraday volume velocity and execution confirmation, while all pre-market predictive filters undergo multi-regime out-of-sample re-engineering.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