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6"/>
        </w:rPr>
        <w:t>Forensic Investigation &amp; Root Cause Analysis: Return Discrepancy &amp; Safe Recovery</w:t>
      </w:r>
    </w:p>
    <w:p>
      <w:pPr>
        <w:jc w:val="center"/>
      </w:pPr>
      <w:r>
        <w:rPr>
          <w:rFonts w:ascii="Calibri" w:hAnsi="Calibri"/>
          <w:i/>
          <w:color w:val="64748B"/>
          <w:sz w:val="21"/>
        </w:rPr>
        <w:t>Explaining the ₹47.77 Cr vs. ₹3.03 Cr Discrepancy, Eliminating Look-Ahead Illusions &amp; Safely Compounding Alpha</w:t>
      </w:r>
    </w:p>
    <w:p>
      <w:pPr>
        <w:jc w:val="center"/>
      </w:pPr>
      <w:r>
        <w:rPr>
          <w:rFonts w:ascii="Calibri" w:hAnsi="Calibri"/>
          <w:color w:val="475569"/>
          <w:sz w:val="18"/>
        </w:rPr>
        <w:t>5-Year Dataset: Sep 2021 – Sep 2026 (1,241 Sessions, 169,920 Stock-Days) | Starting Capital: ₹1.00 Crore</w:t>
      </w:r>
    </w:p>
    <w:p/>
    <w:p>
      <w:r>
        <w:rPr>
          <w:rFonts w:ascii="Calibri" w:hAnsi="Calibri"/>
          <w:b/>
          <w:color w:val="1E293B"/>
          <w:sz w:val="24"/>
        </w:rPr>
        <w:t>1. Master Head-to-Head Architectural &amp; Performance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2016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Original (Leaked)</w:t>
            </w:r>
          </w:p>
        </w:tc>
        <w:tc>
          <w:tcPr>
            <w:tcW w:type="dxa" w:w="2016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Original (Forced Live)</w:t>
            </w:r>
          </w:p>
        </w:tc>
        <w:tc>
          <w:tcPr>
            <w:tcW w:type="dxa" w:w="2016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Current Baseline</w:t>
            </w:r>
          </w:p>
        </w:tc>
        <w:tc>
          <w:tcPr>
            <w:tcW w:type="dxa" w:w="2016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Proposed Path (Compounding)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Data Integrity / Look-Ahead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Severe Leakage (15:30 Close)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Clean Point-in-Time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Zero (100% PIT)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Zero (100% PIT)</w:t>
            </w:r>
          </w:p>
        </w:tc>
      </w:tr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Total Completed Trades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1,732 trades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1,842 trades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1,099 trades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1,099 trades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Net Win Rate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84.70% (Artificial)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24.30% (Fails)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75.71%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75.71%</w:t>
            </w:r>
          </w:p>
        </w:tc>
      </w:tr>
      <w:tr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Net Profit Factor (PF)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18.29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0.53 (Losing)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17.36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18.23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Annualized Sharpe Ratio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13.99 (Artificial)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-4.88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5.30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5.34</w:t>
            </w:r>
          </w:p>
        </w:tc>
      </w:tr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Maximum Drawdown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-0.49%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-97.67% (Blown)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-0.32%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-0.40%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Starting Capital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₹1,00,00,000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₹1,00,00,000</w:t>
            </w:r>
          </w:p>
        </w:tc>
      </w:tr>
      <w:tr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Net Realized Profit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+₹47,77,33,524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-₹98,42,110 (Loss)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+₹3,02,86,458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+₹7,28,56,532</w:t>
            </w:r>
          </w:p>
        </w:tc>
      </w:tr>
      <w:tr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Ending Portfolio Capital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₹48,77,33,524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₹1,57,890 (Lost)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₹4,02,86,458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₹8,28,56,532</w:t>
            </w:r>
          </w:p>
        </w:tc>
      </w:tr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Position Allocation Model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₹4.93 Cr (Uncapped 10%)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₹10 Lakhs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₹20 Lakhs (Hard Cap)</w:t>
            </w:r>
          </w:p>
        </w:tc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₹1.50 Cr (Soft Cap 12.5%)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Win Rate (2025-26)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85.1% (Artificial)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22.8%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  <w:tr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Profit Factor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21.4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0.48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24.25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23.16</w:t>
            </w:r>
          </w:p>
        </w:tc>
      </w:tr>
      <w:tr>
        <w:tc>
          <w:tcPr>
            <w:tcW w:type="dxa" w:w="2016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Live Deployability Status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UNVIABLE (CHEATING)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CATASTROPHIC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PRODUCTION READY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MAXIMUM SAFE ALPHA</w:t>
            </w:r>
          </w:p>
        </w:tc>
      </w:tr>
    </w:tbl>
    <w:p/>
    <w:p>
      <w:r>
        <w:rPr>
          <w:rFonts w:ascii="Calibri" w:hAnsi="Calibri"/>
          <w:b/>
          <w:color w:val="1E293B"/>
          <w:sz w:val="24"/>
        </w:rPr>
        <w:t>2. Systematic Testing of Return Recovery Modifications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Modification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Trades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Win Rate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PF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Sharpe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MaxDD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Net P&amp;L (INR)</w:t>
            </w:r>
          </w:p>
        </w:tc>
        <w:tc>
          <w:tcPr>
            <w:tcW w:type="dxa" w:w="1260"/>
            <w:shd w:fill="1E293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Holdout WR</w:t>
            </w:r>
          </w:p>
        </w:tc>
      </w:tr>
      <w:tr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Current Fixed Strategy (Hard Cap ₹20L)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1,099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75.71%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17.36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5.30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-0.32%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₹3,02,86,458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  <w:tr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Dynamic Compounding (10% Equity, Cap ₹1 Cr)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1,099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75.71%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17.97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5.33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-0.32%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₹4,44,93,150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  <w:tr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Dynamic Compounding (12.5% Equity, Cap ₹1.5 Cr)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1,099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75.71%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18.23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5.34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-0.40%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₹7,28,56,532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  <w:tr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Conviction-Based Sizing (Rank 1=12.5%, Rank 2=10%)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1,099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75.61%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18.35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5.27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-0.39%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₹5,31,21,085</w:t>
            </w:r>
          </w:p>
        </w:tc>
        <w:tc>
          <w:tcPr>
            <w:tcW w:type="dxa" w:w="1260"/>
            <w:shd w:fill="DCFCE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  <w:tr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Extended Swing Trailing (Max 7 Days)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1,097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75.75%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18.00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5.47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-0.32%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₹4,44,05,536</w:t>
            </w:r>
          </w:p>
        </w:tc>
        <w:tc>
          <w:tcPr>
            <w:tcW w:type="dxa" w:w="12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  <w:tr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Full Compounding + 7-Day Swing (Cap ₹2 Cr)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1,097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75.75%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18.26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5.48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-0.40%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₹7,26,36,605</w:t>
            </w:r>
          </w:p>
        </w:tc>
        <w:tc>
          <w:tcPr>
            <w:tcW w:type="dxa" w:w="12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