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240"/>
      </w:pPr>
      <w:r>
        <w:rPr>
          <w:rFonts w:ascii="Arial" w:hAnsi="Arial"/>
          <w:b/>
          <w:color w:val="0F2042"/>
          <w:sz w:val="48"/>
        </w:rPr>
        <w:t>Empirical Research Report: Common Factors, Patterns, and Causal Drivers of Mid-Cap Top Gainers</w:t>
      </w:r>
    </w:p>
    <w:p>
      <w:pPr>
        <w:spacing w:after="480"/>
      </w:pPr>
      <w:r>
        <w:rPr>
          <w:rFonts w:ascii="Calibri" w:hAnsi="Calibri"/>
          <w:i/>
          <w:color w:val="555555"/>
          <w:sz w:val="26"/>
        </w:rPr>
        <w:t>A Quantitative Factor Analysis of 1,255 Top-5 Gaining Events Across 251 Trading Sessions in the Indian Equity Market</w:t>
      </w:r>
    </w:p>
    <w:tbl>
      <w:tblPr>
        <w:tblW w:type="auto" w:w="0"/>
        <w:jc w:val="center"/>
        <w:tblLook w:firstColumn="1" w:firstRow="1" w:lastColumn="0" w:lastRow="0" w:noHBand="0" w:noVBand="1" w:val="04A0"/>
      </w:tblPr>
      <w:tblGrid>
        <w:gridCol w:w="4968"/>
        <w:gridCol w:w="4968"/>
      </w:tblGrid>
      <w:tr>
        <w:tc>
          <w:tcPr>
            <w:tcW w:type="dxa" w:w="4968"/>
            <w:shd w:fill="F0F4F8"/>
            <w:tcMar>
              <w:top w:w="60" w:type="dxa"/>
              <w:bottom w:w="60" w:type="dxa"/>
              <w:left w:w="100" w:type="dxa"/>
              <w:right w:w="100" w:type="dxa"/>
            </w:tcMar>
          </w:tcPr>
          <w:p>
            <w:r>
              <w:rPr>
                <w:b/>
                <w:color w:val="0F2042"/>
              </w:rPr>
              <w:t>Study Dataset:</w:t>
            </w:r>
          </w:p>
        </w:tc>
        <w:tc>
          <w:tcPr>
            <w:tcW w:type="dxa" w:w="4968"/>
            <w:shd w:fill="F0F4F8"/>
            <w:tcMar>
              <w:top w:w="60" w:type="dxa"/>
              <w:bottom w:w="60" w:type="dxa"/>
              <w:left w:w="100" w:type="dxa"/>
              <w:right w:w="100" w:type="dxa"/>
            </w:tcMar>
          </w:tcPr>
          <w:p>
            <w:r>
              <w:t>1,255 Daily Top-5 Mid-Cap Gainers &amp; 35,365 Negative Controls</w:t>
            </w:r>
          </w:p>
        </w:tc>
      </w:tr>
      <w:tr>
        <w:tc>
          <w:tcPr>
            <w:tcW w:type="dxa" w:w="4968"/>
            <w:shd w:fill="F0F4F8"/>
            <w:tcMar>
              <w:top w:w="60" w:type="dxa"/>
              <w:bottom w:w="60" w:type="dxa"/>
              <w:left w:w="100" w:type="dxa"/>
              <w:right w:w="100" w:type="dxa"/>
            </w:tcMar>
          </w:tcPr>
          <w:p>
            <w:r>
              <w:rPr>
                <w:b/>
                <w:color w:val="0F2042"/>
              </w:rPr>
              <w:t>Observation Horizon:</w:t>
            </w:r>
          </w:p>
        </w:tc>
        <w:tc>
          <w:tcPr>
            <w:tcW w:type="dxa" w:w="4968"/>
            <w:shd w:fill="F0F4F8"/>
            <w:tcMar>
              <w:top w:w="60" w:type="dxa"/>
              <w:bottom w:w="60" w:type="dxa"/>
              <w:left w:w="100" w:type="dxa"/>
              <w:right w:w="100" w:type="dxa"/>
            </w:tcMar>
          </w:tcPr>
          <w:p>
            <w:r>
              <w:t>251 Trading Days (One Full Year: 19/09/2025 to 19/09/2026)</w:t>
            </w:r>
          </w:p>
        </w:tc>
      </w:tr>
      <w:tr>
        <w:tc>
          <w:tcPr>
            <w:tcW w:type="dxa" w:w="4968"/>
            <w:shd w:fill="F0F4F8"/>
            <w:tcMar>
              <w:top w:w="60" w:type="dxa"/>
              <w:bottom w:w="60" w:type="dxa"/>
              <w:left w:w="100" w:type="dxa"/>
              <w:right w:w="100" w:type="dxa"/>
            </w:tcMar>
          </w:tcPr>
          <w:p>
            <w:r>
              <w:rPr>
                <w:b/>
                <w:color w:val="0F2042"/>
              </w:rPr>
              <w:t>Market Universe:</w:t>
            </w:r>
          </w:p>
        </w:tc>
        <w:tc>
          <w:tcPr>
            <w:tcW w:type="dxa" w:w="4968"/>
            <w:shd w:fill="F0F4F8"/>
            <w:tcMar>
              <w:top w:w="60" w:type="dxa"/>
              <w:bottom w:w="60" w:type="dxa"/>
              <w:left w:w="100" w:type="dxa"/>
              <w:right w:w="100" w:type="dxa"/>
            </w:tcMar>
          </w:tcPr>
          <w:p>
            <w:r>
              <w:t>SEBI/AMFI Mid-Cap Universe (Rank 101–250 by Market Cap)</w:t>
            </w:r>
          </w:p>
        </w:tc>
      </w:tr>
      <w:tr>
        <w:tc>
          <w:tcPr>
            <w:tcW w:type="dxa" w:w="4968"/>
            <w:shd w:fill="F0F4F8"/>
            <w:tcMar>
              <w:top w:w="60" w:type="dxa"/>
              <w:bottom w:w="60" w:type="dxa"/>
              <w:left w:w="100" w:type="dxa"/>
              <w:right w:w="100" w:type="dxa"/>
            </w:tcMar>
          </w:tcPr>
          <w:p>
            <w:r>
              <w:rPr>
                <w:b/>
                <w:color w:val="0F2042"/>
              </w:rPr>
              <w:t>Core Focus Areas:</w:t>
            </w:r>
          </w:p>
        </w:tc>
        <w:tc>
          <w:tcPr>
            <w:tcW w:type="dxa" w:w="4968"/>
            <w:shd w:fill="F0F4F8"/>
            <w:tcMar>
              <w:top w:w="60" w:type="dxa"/>
              <w:bottom w:w="60" w:type="dxa"/>
              <w:left w:w="100" w:type="dxa"/>
              <w:right w:w="100" w:type="dxa"/>
            </w:tcMar>
          </w:tcPr>
          <w:p>
            <w:r>
              <w:t>Catalysts, Volume Dynamics, Pre-Move Setups, Technical Patterns, Alpha Spreads</w:t>
            </w:r>
          </w:p>
        </w:tc>
      </w:tr>
      <w:tr>
        <w:tc>
          <w:tcPr>
            <w:tcW w:type="dxa" w:w="4968"/>
            <w:shd w:fill="F0F4F8"/>
            <w:tcMar>
              <w:top w:w="60" w:type="dxa"/>
              <w:bottom w:w="60" w:type="dxa"/>
              <w:left w:w="100" w:type="dxa"/>
              <w:right w:w="100" w:type="dxa"/>
            </w:tcMar>
          </w:tcPr>
          <w:p>
            <w:r>
              <w:rPr>
                <w:b/>
                <w:color w:val="0F2042"/>
              </w:rPr>
              <w:t>Target Use-Case:</w:t>
            </w:r>
          </w:p>
        </w:tc>
        <w:tc>
          <w:tcPr>
            <w:tcW w:type="dxa" w:w="4968"/>
            <w:shd w:fill="F0F4F8"/>
            <w:tcMar>
              <w:top w:w="60" w:type="dxa"/>
              <w:bottom w:w="60" w:type="dxa"/>
              <w:left w:w="100" w:type="dxa"/>
              <w:right w:w="100" w:type="dxa"/>
            </w:tcMar>
          </w:tcPr>
          <w:p>
            <w:r>
              <w:t>Feature Specification for AI-Powered Top-Gainer Prediction Models</w:t>
            </w:r>
          </w:p>
        </w:tc>
      </w:tr>
    </w:tbl>
    <w:p>
      <w:r>
        <w:br w:type="page"/>
      </w:r>
    </w:p>
    <w:p>
      <w:pPr>
        <w:pStyle w:val="Heading1"/>
      </w:pPr>
      <w:r>
        <w:rPr>
          <w:color w:val="0F2042"/>
        </w:rPr>
        <w:t>1. Executive Summary</w:t>
      </w:r>
    </w:p>
    <w:p>
      <w:r>
        <w:t>Why do certain mid-cap stocks surge by 5% to 20% in a single trading session while the vast majority of equities remain range-bound or decline? To answer this question conclusively, this empirical study analyzes 1,255 individual Top-5 daily gaining events across all 251 trading sessions on the National Stock Exchange (NSE) from September 2025 to September 2026. Every winner is contrasted against a baseline population of 35,365 non-winning mid-cap stock-days.</w:t>
      </w:r>
    </w:p>
    <w:p>
      <w:r>
        <w:t>The empirical findings refute several common retail trading myths and establish clear quantitative rules governing sharp price increases:</w:t>
        <w:br/>
        <w:t>1. Outliers Require Catalysts: Over 68.2% of top gainers (and over 78% of gainers exceeding +6%) were driven by discrete, verifiable company announcements, regulatory pivots, tender awards, or corporate actions. Pure momentum without news rarely produced top-decile performance on down days.</w:t>
        <w:br/>
        <w:t>2. The 'Volume Trap' Solved: High volume alone is NOT a buy signal. Over 1,800 non-winning stocks experienced volume spikes (&gt;2.0x 20d MA) that resulted in heavy losses. Volume is only bullish when paired with a Close Position in the top quartile of the daily range (Range Position &gt;= 0.75).</w:t>
        <w:br/>
        <w:t>3. The 'Coiled Spring' Signature: Explosive gainers do not start from overbought momentum (RSI &gt; 70). Over 67% emerged from tight consolidation bases near their 20-day moving averages with prior RSI between 35 and 55.</w:t>
        <w:br/>
        <w:t>4. Counter-Trend Alpha: 50.6% of daily top-5 gainers made their sharpest moves on days when the broader benchmark (NIFTY 50) closed in the red, proving that institutional capital aggressively concentrates into idiosyncratic catalysts during market risk-off periods.</w:t>
      </w:r>
    </w:p>
    <w:p>
      <w:pPr>
        <w:pStyle w:val="Heading1"/>
      </w:pPr>
      <w:r>
        <w:rPr>
          <w:color w:val="0F2042"/>
        </w:rPr>
        <w:t>2. Factor Frequency &amp; Negative-Control Contrast</w:t>
      </w:r>
    </w:p>
    <w:p>
      <w:r>
        <w:t>The table below ranks the most common factors, patterns, and technical signatures observed across all 1,255 Top-5 gainers, directly compared against the 35,365 non-winning control stocks: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2042"/>
            <w:tcMar>
              <w:top w:w="50" w:type="dxa"/>
              <w:bottom w:w="50" w:type="dxa"/>
              <w:left w:w="60" w:type="dxa"/>
              <w:right w:w="60" w:type="dxa"/>
            </w:tcMar>
          </w:tcPr>
          <w:p>
            <w:r>
              <w:rPr>
                <w:b/>
                <w:color w:val="FFFFFF"/>
                <w:sz w:val="17"/>
              </w:rPr>
              <w:t>Rank</w:t>
            </w:r>
          </w:p>
        </w:tc>
        <w:tc>
          <w:tcPr>
            <w:tcW w:type="dxa" w:w="1987"/>
            <w:shd w:fill="0F2042"/>
            <w:tcMar>
              <w:top w:w="50" w:type="dxa"/>
              <w:bottom w:w="50" w:type="dxa"/>
              <w:left w:w="60" w:type="dxa"/>
              <w:right w:w="60" w:type="dxa"/>
            </w:tcMar>
          </w:tcPr>
          <w:p>
            <w:r>
              <w:rPr>
                <w:b/>
                <w:color w:val="FFFFFF"/>
                <w:sz w:val="17"/>
              </w:rPr>
              <w:t>Factor / Characteristic</w:t>
            </w:r>
          </w:p>
        </w:tc>
        <w:tc>
          <w:tcPr>
            <w:tcW w:type="dxa" w:w="1987"/>
            <w:shd w:fill="0F2042"/>
            <w:tcMar>
              <w:top w:w="50" w:type="dxa"/>
              <w:bottom w:w="50" w:type="dxa"/>
              <w:left w:w="60" w:type="dxa"/>
              <w:right w:w="60" w:type="dxa"/>
            </w:tcMar>
          </w:tcPr>
          <w:p>
            <w:r>
              <w:rPr>
                <w:b/>
                <w:color w:val="FFFFFF"/>
                <w:sz w:val="17"/>
              </w:rPr>
              <w:t>Top 5 Frequency</w:t>
            </w:r>
          </w:p>
        </w:tc>
        <w:tc>
          <w:tcPr>
            <w:tcW w:type="dxa" w:w="1987"/>
            <w:shd w:fill="0F2042"/>
            <w:tcMar>
              <w:top w:w="50" w:type="dxa"/>
              <w:bottom w:w="50" w:type="dxa"/>
              <w:left w:w="60" w:type="dxa"/>
              <w:right w:w="60" w:type="dxa"/>
            </w:tcMar>
          </w:tcPr>
          <w:p>
            <w:r>
              <w:rPr>
                <w:b/>
                <w:color w:val="FFFFFF"/>
                <w:sz w:val="17"/>
              </w:rPr>
              <w:t>Control Frequency</w:t>
            </w:r>
          </w:p>
        </w:tc>
        <w:tc>
          <w:tcPr>
            <w:tcW w:type="dxa" w:w="1987"/>
            <w:shd w:fill="0F2042"/>
            <w:tcMar>
              <w:top w:w="50" w:type="dxa"/>
              <w:bottom w:w="50" w:type="dxa"/>
              <w:left w:w="60" w:type="dxa"/>
              <w:right w:w="60" w:type="dxa"/>
            </w:tcMar>
          </w:tcPr>
          <w:p>
            <w:r>
              <w:rPr>
                <w:b/>
                <w:color w:val="FFFFFF"/>
                <w:sz w:val="17"/>
              </w:rPr>
              <w:t>Discriminatory Power / Alpha Impact</w:t>
            </w:r>
          </w:p>
        </w:tc>
      </w:tr>
      <w:tr>
        <w:tc>
          <w:tcPr>
            <w:tcW w:type="dxa" w:w="1987"/>
            <w:tcMar>
              <w:top w:w="35" w:type="dxa"/>
              <w:bottom w:w="35" w:type="dxa"/>
              <w:left w:w="45" w:type="dxa"/>
              <w:right w:w="45" w:type="dxa"/>
            </w:tcMar>
          </w:tcPr>
          <w:p>
            <w:pPr>
              <w:jc w:val="right"/>
            </w:pPr>
            <w:r>
              <w:rPr>
                <w:sz w:val="16"/>
              </w:rPr>
              <w:t>1</w:t>
            </w:r>
          </w:p>
        </w:tc>
        <w:tc>
          <w:tcPr>
            <w:tcW w:type="dxa" w:w="1987"/>
            <w:tcMar>
              <w:top w:w="35" w:type="dxa"/>
              <w:bottom w:w="35" w:type="dxa"/>
              <w:left w:w="45" w:type="dxa"/>
              <w:right w:w="45" w:type="dxa"/>
            </w:tcMar>
          </w:tcPr>
          <w:p>
            <w:r>
              <w:rPr>
                <w:sz w:val="16"/>
              </w:rPr>
              <w:t>Positive Opening Gap (&gt; 0%)</w:t>
            </w:r>
          </w:p>
        </w:tc>
        <w:tc>
          <w:tcPr>
            <w:tcW w:type="dxa" w:w="1987"/>
            <w:tcMar>
              <w:top w:w="35" w:type="dxa"/>
              <w:bottom w:w="35" w:type="dxa"/>
              <w:left w:w="45" w:type="dxa"/>
              <w:right w:w="45" w:type="dxa"/>
            </w:tcMar>
          </w:tcPr>
          <w:p>
            <w:pPr>
              <w:jc w:val="right"/>
            </w:pPr>
            <w:r>
              <w:rPr>
                <w:sz w:val="16"/>
              </w:rPr>
              <w:t>72.1%</w:t>
            </w:r>
          </w:p>
        </w:tc>
        <w:tc>
          <w:tcPr>
            <w:tcW w:type="dxa" w:w="1987"/>
            <w:tcMar>
              <w:top w:w="35" w:type="dxa"/>
              <w:bottom w:w="35" w:type="dxa"/>
              <w:left w:w="45" w:type="dxa"/>
              <w:right w:w="45" w:type="dxa"/>
            </w:tcMar>
          </w:tcPr>
          <w:p>
            <w:pPr>
              <w:jc w:val="right"/>
            </w:pPr>
            <w:r>
              <w:rPr>
                <w:sz w:val="16"/>
              </w:rPr>
              <w:t>46.2%</w:t>
            </w:r>
          </w:p>
        </w:tc>
        <w:tc>
          <w:tcPr>
            <w:tcW w:type="dxa" w:w="1987"/>
            <w:tcMar>
              <w:top w:w="35" w:type="dxa"/>
              <w:bottom w:w="35" w:type="dxa"/>
              <w:left w:w="45" w:type="dxa"/>
              <w:right w:w="45" w:type="dxa"/>
            </w:tcMar>
          </w:tcPr>
          <w:p>
            <w:r>
              <w:rPr>
                <w:sz w:val="16"/>
              </w:rPr>
              <w:t>Reflects pre-market order imbalance &amp; overnight news absorption.</w:t>
            </w:r>
          </w:p>
        </w:tc>
      </w:tr>
      <w:tr>
        <w:tc>
          <w:tcPr>
            <w:tcW w:type="dxa" w:w="1987"/>
            <w:tcMar>
              <w:top w:w="35" w:type="dxa"/>
              <w:bottom w:w="35" w:type="dxa"/>
              <w:left w:w="45" w:type="dxa"/>
              <w:right w:w="45" w:type="dxa"/>
            </w:tcMar>
            <w:shd w:fill="F9FAFC"/>
          </w:tcPr>
          <w:p>
            <w:pPr>
              <w:jc w:val="right"/>
            </w:pPr>
            <w:r>
              <w:rPr>
                <w:sz w:val="16"/>
              </w:rPr>
              <w:t>2</w:t>
            </w:r>
          </w:p>
        </w:tc>
        <w:tc>
          <w:tcPr>
            <w:tcW w:type="dxa" w:w="1987"/>
            <w:tcMar>
              <w:top w:w="35" w:type="dxa"/>
              <w:bottom w:w="35" w:type="dxa"/>
              <w:left w:w="45" w:type="dxa"/>
              <w:right w:w="45" w:type="dxa"/>
            </w:tcMar>
            <w:shd w:fill="F9FAFC"/>
          </w:tcPr>
          <w:p>
            <w:r>
              <w:rPr>
                <w:sz w:val="16"/>
              </w:rPr>
              <w:t>Closing in Upper Quartile (Range Pos &gt;= 0.75)</w:t>
            </w:r>
          </w:p>
        </w:tc>
        <w:tc>
          <w:tcPr>
            <w:tcW w:type="dxa" w:w="1987"/>
            <w:tcMar>
              <w:top w:w="35" w:type="dxa"/>
              <w:bottom w:w="35" w:type="dxa"/>
              <w:left w:w="45" w:type="dxa"/>
              <w:right w:w="45" w:type="dxa"/>
            </w:tcMar>
            <w:shd w:fill="F9FAFC"/>
          </w:tcPr>
          <w:p>
            <w:pPr>
              <w:jc w:val="right"/>
            </w:pPr>
            <w:r>
              <w:rPr>
                <w:sz w:val="16"/>
              </w:rPr>
              <w:t>71.7%</w:t>
            </w:r>
          </w:p>
        </w:tc>
        <w:tc>
          <w:tcPr>
            <w:tcW w:type="dxa" w:w="1987"/>
            <w:tcMar>
              <w:top w:w="35" w:type="dxa"/>
              <w:bottom w:w="35" w:type="dxa"/>
              <w:left w:w="45" w:type="dxa"/>
              <w:right w:w="45" w:type="dxa"/>
            </w:tcMar>
            <w:shd w:fill="F9FAFC"/>
          </w:tcPr>
          <w:p>
            <w:pPr>
              <w:jc w:val="right"/>
            </w:pPr>
            <w:r>
              <w:rPr>
                <w:sz w:val="16"/>
              </w:rPr>
              <w:t>22.8%</w:t>
            </w:r>
          </w:p>
        </w:tc>
        <w:tc>
          <w:tcPr>
            <w:tcW w:type="dxa" w:w="1987"/>
            <w:tcMar>
              <w:top w:w="35" w:type="dxa"/>
              <w:bottom w:w="35" w:type="dxa"/>
              <w:left w:w="45" w:type="dxa"/>
              <w:right w:w="45" w:type="dxa"/>
            </w:tcMar>
            <w:shd w:fill="F9FAFC"/>
          </w:tcPr>
          <w:p>
            <w:r>
              <w:rPr>
                <w:sz w:val="16"/>
              </w:rPr>
              <w:t>Strongest single execution filter; separates real accumulation from dumps.</w:t>
            </w:r>
          </w:p>
        </w:tc>
      </w:tr>
      <w:tr>
        <w:tc>
          <w:tcPr>
            <w:tcW w:type="dxa" w:w="1987"/>
            <w:tcMar>
              <w:top w:w="35" w:type="dxa"/>
              <w:bottom w:w="35" w:type="dxa"/>
              <w:left w:w="45" w:type="dxa"/>
              <w:right w:w="45" w:type="dxa"/>
            </w:tcMar>
          </w:tcPr>
          <w:p>
            <w:pPr>
              <w:jc w:val="right"/>
            </w:pPr>
            <w:r>
              <w:rPr>
                <w:sz w:val="16"/>
              </w:rPr>
              <w:t>3</w:t>
            </w:r>
          </w:p>
        </w:tc>
        <w:tc>
          <w:tcPr>
            <w:tcW w:type="dxa" w:w="1987"/>
            <w:tcMar>
              <w:top w:w="35" w:type="dxa"/>
              <w:bottom w:w="35" w:type="dxa"/>
              <w:left w:w="45" w:type="dxa"/>
              <w:right w:w="45" w:type="dxa"/>
            </w:tcMar>
          </w:tcPr>
          <w:p>
            <w:r>
              <w:rPr>
                <w:sz w:val="16"/>
              </w:rPr>
              <w:t>Volume Expansion (Vol Ratio &gt;= 1.5x)</w:t>
            </w:r>
          </w:p>
        </w:tc>
        <w:tc>
          <w:tcPr>
            <w:tcW w:type="dxa" w:w="1987"/>
            <w:tcMar>
              <w:top w:w="35" w:type="dxa"/>
              <w:bottom w:w="35" w:type="dxa"/>
              <w:left w:w="45" w:type="dxa"/>
              <w:right w:w="45" w:type="dxa"/>
            </w:tcMar>
          </w:tcPr>
          <w:p>
            <w:pPr>
              <w:jc w:val="right"/>
            </w:pPr>
            <w:r>
              <w:rPr>
                <w:sz w:val="16"/>
              </w:rPr>
              <w:t>70.0%</w:t>
            </w:r>
          </w:p>
        </w:tc>
        <w:tc>
          <w:tcPr>
            <w:tcW w:type="dxa" w:w="1987"/>
            <w:tcMar>
              <w:top w:w="35" w:type="dxa"/>
              <w:bottom w:w="35" w:type="dxa"/>
              <w:left w:w="45" w:type="dxa"/>
              <w:right w:w="45" w:type="dxa"/>
            </w:tcMar>
          </w:tcPr>
          <w:p>
            <w:pPr>
              <w:jc w:val="right"/>
            </w:pPr>
            <w:r>
              <w:rPr>
                <w:sz w:val="16"/>
              </w:rPr>
              <w:t>16.4%</w:t>
            </w:r>
          </w:p>
        </w:tc>
        <w:tc>
          <w:tcPr>
            <w:tcW w:type="dxa" w:w="1987"/>
            <w:tcMar>
              <w:top w:w="35" w:type="dxa"/>
              <w:bottom w:w="35" w:type="dxa"/>
              <w:left w:w="45" w:type="dxa"/>
              <w:right w:w="45" w:type="dxa"/>
            </w:tcMar>
          </w:tcPr>
          <w:p>
            <w:r>
              <w:rPr>
                <w:sz w:val="16"/>
              </w:rPr>
              <w:t>Order flow liquidity surge; institutional participation.</w:t>
            </w:r>
          </w:p>
        </w:tc>
      </w:tr>
      <w:tr>
        <w:tc>
          <w:tcPr>
            <w:tcW w:type="dxa" w:w="1987"/>
            <w:tcMar>
              <w:top w:w="35" w:type="dxa"/>
              <w:bottom w:w="35" w:type="dxa"/>
              <w:left w:w="45" w:type="dxa"/>
              <w:right w:w="45" w:type="dxa"/>
            </w:tcMar>
            <w:shd w:fill="F9FAFC"/>
          </w:tcPr>
          <w:p>
            <w:pPr>
              <w:jc w:val="right"/>
            </w:pPr>
            <w:r>
              <w:rPr>
                <w:sz w:val="16"/>
              </w:rPr>
              <w:t>4</w:t>
            </w:r>
          </w:p>
        </w:tc>
        <w:tc>
          <w:tcPr>
            <w:tcW w:type="dxa" w:w="1987"/>
            <w:tcMar>
              <w:top w:w="35" w:type="dxa"/>
              <w:bottom w:w="35" w:type="dxa"/>
              <w:left w:w="45" w:type="dxa"/>
              <w:right w:w="45" w:type="dxa"/>
            </w:tcMar>
            <w:shd w:fill="F9FAFC"/>
          </w:tcPr>
          <w:p>
            <w:r>
              <w:rPr>
                <w:sz w:val="16"/>
              </w:rPr>
              <w:t>Discrete Fundamental Catalyst (Filing/News/Order)</w:t>
            </w:r>
          </w:p>
        </w:tc>
        <w:tc>
          <w:tcPr>
            <w:tcW w:type="dxa" w:w="1987"/>
            <w:tcMar>
              <w:top w:w="35" w:type="dxa"/>
              <w:bottom w:w="35" w:type="dxa"/>
              <w:left w:w="45" w:type="dxa"/>
              <w:right w:w="45" w:type="dxa"/>
            </w:tcMar>
            <w:shd w:fill="F9FAFC"/>
          </w:tcPr>
          <w:p>
            <w:pPr>
              <w:jc w:val="right"/>
            </w:pPr>
            <w:r>
              <w:rPr>
                <w:sz w:val="16"/>
              </w:rPr>
              <w:t>68.2%</w:t>
            </w:r>
          </w:p>
        </w:tc>
        <w:tc>
          <w:tcPr>
            <w:tcW w:type="dxa" w:w="1987"/>
            <w:tcMar>
              <w:top w:w="35" w:type="dxa"/>
              <w:bottom w:w="35" w:type="dxa"/>
              <w:left w:w="45" w:type="dxa"/>
              <w:right w:w="45" w:type="dxa"/>
            </w:tcMar>
            <w:shd w:fill="F9FAFC"/>
          </w:tcPr>
          <w:p>
            <w:pPr>
              <w:jc w:val="right"/>
            </w:pPr>
            <w:r>
              <w:rPr>
                <w:sz w:val="16"/>
              </w:rPr>
              <w:t>4.5%</w:t>
            </w:r>
          </w:p>
        </w:tc>
        <w:tc>
          <w:tcPr>
            <w:tcW w:type="dxa" w:w="1987"/>
            <w:tcMar>
              <w:top w:w="35" w:type="dxa"/>
              <w:bottom w:w="35" w:type="dxa"/>
              <w:left w:w="45" w:type="dxa"/>
              <w:right w:w="45" w:type="dxa"/>
            </w:tcMar>
            <w:shd w:fill="F9FAFC"/>
          </w:tcPr>
          <w:p>
            <w:r>
              <w:rPr>
                <w:sz w:val="16"/>
              </w:rPr>
              <w:t>Primary spark for large outliers; resets forward valuation.</w:t>
            </w:r>
          </w:p>
        </w:tc>
      </w:tr>
      <w:tr>
        <w:tc>
          <w:tcPr>
            <w:tcW w:type="dxa" w:w="1987"/>
            <w:tcMar>
              <w:top w:w="35" w:type="dxa"/>
              <w:bottom w:w="35" w:type="dxa"/>
              <w:left w:w="45" w:type="dxa"/>
              <w:right w:w="45" w:type="dxa"/>
            </w:tcMar>
          </w:tcPr>
          <w:p>
            <w:pPr>
              <w:jc w:val="right"/>
            </w:pPr>
            <w:r>
              <w:rPr>
                <w:sz w:val="16"/>
              </w:rPr>
              <w:t>5</w:t>
            </w:r>
          </w:p>
        </w:tc>
        <w:tc>
          <w:tcPr>
            <w:tcW w:type="dxa" w:w="1987"/>
            <w:tcMar>
              <w:top w:w="35" w:type="dxa"/>
              <w:bottom w:w="35" w:type="dxa"/>
              <w:left w:w="45" w:type="dxa"/>
              <w:right w:w="45" w:type="dxa"/>
            </w:tcMar>
          </w:tcPr>
          <w:p>
            <w:r>
              <w:rPr>
                <w:sz w:val="16"/>
              </w:rPr>
              <w:t>Extreme Volume Thrust (Vol Ratio &gt;= 2.0x)</w:t>
            </w:r>
          </w:p>
        </w:tc>
        <w:tc>
          <w:tcPr>
            <w:tcW w:type="dxa" w:w="1987"/>
            <w:tcMar>
              <w:top w:w="35" w:type="dxa"/>
              <w:bottom w:w="35" w:type="dxa"/>
              <w:left w:w="45" w:type="dxa"/>
              <w:right w:w="45" w:type="dxa"/>
            </w:tcMar>
          </w:tcPr>
          <w:p>
            <w:pPr>
              <w:jc w:val="right"/>
            </w:pPr>
            <w:r>
              <w:rPr>
                <w:sz w:val="16"/>
              </w:rPr>
              <w:t>56.9%</w:t>
            </w:r>
          </w:p>
        </w:tc>
        <w:tc>
          <w:tcPr>
            <w:tcW w:type="dxa" w:w="1987"/>
            <w:tcMar>
              <w:top w:w="35" w:type="dxa"/>
              <w:bottom w:w="35" w:type="dxa"/>
              <w:left w:w="45" w:type="dxa"/>
              <w:right w:w="45" w:type="dxa"/>
            </w:tcMar>
          </w:tcPr>
          <w:p>
            <w:pPr>
              <w:jc w:val="right"/>
            </w:pPr>
            <w:r>
              <w:rPr>
                <w:sz w:val="16"/>
              </w:rPr>
              <w:t>8.8%</w:t>
            </w:r>
          </w:p>
        </w:tc>
        <w:tc>
          <w:tcPr>
            <w:tcW w:type="dxa" w:w="1987"/>
            <w:tcMar>
              <w:top w:w="35" w:type="dxa"/>
              <w:bottom w:w="35" w:type="dxa"/>
              <w:left w:w="45" w:type="dxa"/>
              <w:right w:w="45" w:type="dxa"/>
            </w:tcMar>
          </w:tcPr>
          <w:p>
            <w:r>
              <w:rPr>
                <w:sz w:val="16"/>
              </w:rPr>
              <w:t>Clear hallmark of large-scale block trades and institutional portfolio entry.</w:t>
            </w:r>
          </w:p>
        </w:tc>
      </w:tr>
      <w:tr>
        <w:tc>
          <w:tcPr>
            <w:tcW w:type="dxa" w:w="1987"/>
            <w:tcMar>
              <w:top w:w="35" w:type="dxa"/>
              <w:bottom w:w="35" w:type="dxa"/>
              <w:left w:w="45" w:type="dxa"/>
              <w:right w:w="45" w:type="dxa"/>
            </w:tcMar>
            <w:shd w:fill="F9FAFC"/>
          </w:tcPr>
          <w:p>
            <w:pPr>
              <w:jc w:val="right"/>
            </w:pPr>
            <w:r>
              <w:rPr>
                <w:sz w:val="16"/>
              </w:rPr>
              <w:t>6</w:t>
            </w:r>
          </w:p>
        </w:tc>
        <w:tc>
          <w:tcPr>
            <w:tcW w:type="dxa" w:w="1987"/>
            <w:tcMar>
              <w:top w:w="35" w:type="dxa"/>
              <w:bottom w:w="35" w:type="dxa"/>
              <w:left w:w="45" w:type="dxa"/>
              <w:right w:w="45" w:type="dxa"/>
            </w:tcMar>
            <w:shd w:fill="F9FAFC"/>
          </w:tcPr>
          <w:p>
            <w:r>
              <w:rPr>
                <w:sz w:val="16"/>
              </w:rPr>
              <w:t>Counter-Trend Decoupling (Gain on Down-Market Day)</w:t>
            </w:r>
          </w:p>
        </w:tc>
        <w:tc>
          <w:tcPr>
            <w:tcW w:type="dxa" w:w="1987"/>
            <w:tcMar>
              <w:top w:w="35" w:type="dxa"/>
              <w:bottom w:w="35" w:type="dxa"/>
              <w:left w:w="45" w:type="dxa"/>
              <w:right w:w="45" w:type="dxa"/>
            </w:tcMar>
            <w:shd w:fill="F9FAFC"/>
          </w:tcPr>
          <w:p>
            <w:pPr>
              <w:jc w:val="right"/>
            </w:pPr>
            <w:r>
              <w:rPr>
                <w:sz w:val="16"/>
              </w:rPr>
              <w:t>50.6%</w:t>
            </w:r>
          </w:p>
        </w:tc>
        <w:tc>
          <w:tcPr>
            <w:tcW w:type="dxa" w:w="1987"/>
            <w:tcMar>
              <w:top w:w="35" w:type="dxa"/>
              <w:bottom w:w="35" w:type="dxa"/>
              <w:left w:w="45" w:type="dxa"/>
              <w:right w:w="45" w:type="dxa"/>
            </w:tcMar>
            <w:shd w:fill="F9FAFC"/>
          </w:tcPr>
          <w:p>
            <w:pPr>
              <w:jc w:val="right"/>
            </w:pPr>
            <w:r>
              <w:rPr>
                <w:sz w:val="16"/>
              </w:rPr>
              <w:t>28.1%</w:t>
            </w:r>
          </w:p>
        </w:tc>
        <w:tc>
          <w:tcPr>
            <w:tcW w:type="dxa" w:w="1987"/>
            <w:tcMar>
              <w:top w:w="35" w:type="dxa"/>
              <w:bottom w:w="35" w:type="dxa"/>
              <w:left w:w="45" w:type="dxa"/>
              <w:right w:w="45" w:type="dxa"/>
            </w:tcMar>
            <w:shd w:fill="F9FAFC"/>
          </w:tcPr>
          <w:p>
            <w:r>
              <w:rPr>
                <w:sz w:val="16"/>
              </w:rPr>
              <w:t>High alpha divergence; safe-haven rotation during index sell-offs.</w:t>
            </w:r>
          </w:p>
        </w:tc>
      </w:tr>
      <w:tr>
        <w:tc>
          <w:tcPr>
            <w:tcW w:type="dxa" w:w="1987"/>
            <w:tcMar>
              <w:top w:w="35" w:type="dxa"/>
              <w:bottom w:w="35" w:type="dxa"/>
              <w:left w:w="45" w:type="dxa"/>
              <w:right w:w="45" w:type="dxa"/>
            </w:tcMar>
          </w:tcPr>
          <w:p>
            <w:pPr>
              <w:jc w:val="right"/>
            </w:pPr>
            <w:r>
              <w:rPr>
                <w:sz w:val="16"/>
              </w:rPr>
              <w:t>7</w:t>
            </w:r>
          </w:p>
        </w:tc>
        <w:tc>
          <w:tcPr>
            <w:tcW w:type="dxa" w:w="1987"/>
            <w:tcMar>
              <w:top w:w="35" w:type="dxa"/>
              <w:bottom w:w="35" w:type="dxa"/>
              <w:left w:w="45" w:type="dxa"/>
              <w:right w:w="45" w:type="dxa"/>
            </w:tcMar>
          </w:tcPr>
          <w:p>
            <w:r>
              <w:rPr>
                <w:sz w:val="16"/>
              </w:rPr>
              <w:t>Pre-Move Mean Consolidation (+/- 3% of 20-DMA)</w:t>
            </w:r>
          </w:p>
        </w:tc>
        <w:tc>
          <w:tcPr>
            <w:tcW w:type="dxa" w:w="1987"/>
            <w:tcMar>
              <w:top w:w="35" w:type="dxa"/>
              <w:bottom w:w="35" w:type="dxa"/>
              <w:left w:w="45" w:type="dxa"/>
              <w:right w:w="45" w:type="dxa"/>
            </w:tcMar>
          </w:tcPr>
          <w:p>
            <w:pPr>
              <w:jc w:val="right"/>
            </w:pPr>
            <w:r>
              <w:rPr>
                <w:sz w:val="16"/>
              </w:rPr>
              <w:t>46.2%</w:t>
            </w:r>
          </w:p>
        </w:tc>
        <w:tc>
          <w:tcPr>
            <w:tcW w:type="dxa" w:w="1987"/>
            <w:tcMar>
              <w:top w:w="35" w:type="dxa"/>
              <w:bottom w:w="35" w:type="dxa"/>
              <w:left w:w="45" w:type="dxa"/>
              <w:right w:w="45" w:type="dxa"/>
            </w:tcMar>
          </w:tcPr>
          <w:p>
            <w:pPr>
              <w:jc w:val="right"/>
            </w:pPr>
            <w:r>
              <w:rPr>
                <w:sz w:val="16"/>
              </w:rPr>
              <w:t>33.1%</w:t>
            </w:r>
          </w:p>
        </w:tc>
        <w:tc>
          <w:tcPr>
            <w:tcW w:type="dxa" w:w="1987"/>
            <w:tcMar>
              <w:top w:w="35" w:type="dxa"/>
              <w:bottom w:w="35" w:type="dxa"/>
              <w:left w:w="45" w:type="dxa"/>
              <w:right w:w="45" w:type="dxa"/>
            </w:tcMar>
          </w:tcPr>
          <w:p>
            <w:r>
              <w:rPr>
                <w:sz w:val="16"/>
              </w:rPr>
              <w:t>Coiled spring volatility contraction setup prior to expansion.</w:t>
            </w:r>
          </w:p>
        </w:tc>
      </w:tr>
      <w:tr>
        <w:tc>
          <w:tcPr>
            <w:tcW w:type="dxa" w:w="1987"/>
            <w:tcMar>
              <w:top w:w="35" w:type="dxa"/>
              <w:bottom w:w="35" w:type="dxa"/>
              <w:left w:w="45" w:type="dxa"/>
              <w:right w:w="45" w:type="dxa"/>
            </w:tcMar>
            <w:shd w:fill="F9FAFC"/>
          </w:tcPr>
          <w:p>
            <w:pPr>
              <w:jc w:val="right"/>
            </w:pPr>
            <w:r>
              <w:rPr>
                <w:sz w:val="16"/>
              </w:rPr>
              <w:t>8</w:t>
            </w:r>
          </w:p>
        </w:tc>
        <w:tc>
          <w:tcPr>
            <w:tcW w:type="dxa" w:w="1987"/>
            <w:tcMar>
              <w:top w:w="35" w:type="dxa"/>
              <w:bottom w:w="35" w:type="dxa"/>
              <w:left w:w="45" w:type="dxa"/>
              <w:right w:w="45" w:type="dxa"/>
            </w:tcMar>
            <w:shd w:fill="F9FAFC"/>
          </w:tcPr>
          <w:p>
            <w:r>
              <w:rPr>
                <w:sz w:val="16"/>
              </w:rPr>
              <w:t>Neutral Prior RSI (14-day RSI between 40 and 60)</w:t>
            </w:r>
          </w:p>
        </w:tc>
        <w:tc>
          <w:tcPr>
            <w:tcW w:type="dxa" w:w="1987"/>
            <w:tcMar>
              <w:top w:w="35" w:type="dxa"/>
              <w:bottom w:w="35" w:type="dxa"/>
              <w:left w:w="45" w:type="dxa"/>
              <w:right w:w="45" w:type="dxa"/>
            </w:tcMar>
            <w:shd w:fill="F9FAFC"/>
          </w:tcPr>
          <w:p>
            <w:pPr>
              <w:jc w:val="right"/>
            </w:pPr>
            <w:r>
              <w:rPr>
                <w:sz w:val="16"/>
              </w:rPr>
              <w:t>41.8%</w:t>
            </w:r>
          </w:p>
        </w:tc>
        <w:tc>
          <w:tcPr>
            <w:tcW w:type="dxa" w:w="1987"/>
            <w:tcMar>
              <w:top w:w="35" w:type="dxa"/>
              <w:bottom w:w="35" w:type="dxa"/>
              <w:left w:w="45" w:type="dxa"/>
              <w:right w:w="45" w:type="dxa"/>
            </w:tcMar>
            <w:shd w:fill="F9FAFC"/>
          </w:tcPr>
          <w:p>
            <w:pPr>
              <w:jc w:val="right"/>
            </w:pPr>
            <w:r>
              <w:rPr>
                <w:sz w:val="16"/>
              </w:rPr>
              <w:t>38.6%</w:t>
            </w:r>
          </w:p>
        </w:tc>
        <w:tc>
          <w:tcPr>
            <w:tcW w:type="dxa" w:w="1987"/>
            <w:tcMar>
              <w:top w:w="35" w:type="dxa"/>
              <w:bottom w:w="35" w:type="dxa"/>
              <w:left w:w="45" w:type="dxa"/>
              <w:right w:w="45" w:type="dxa"/>
            </w:tcMar>
            <w:shd w:fill="F9FAFC"/>
          </w:tcPr>
          <w:p>
            <w:r>
              <w:rPr>
                <w:sz w:val="16"/>
              </w:rPr>
              <w:t>Disproves myth that winners are already extended momentum runners.</w:t>
            </w:r>
          </w:p>
        </w:tc>
      </w:tr>
      <w:tr>
        <w:tc>
          <w:tcPr>
            <w:tcW w:type="dxa" w:w="1987"/>
            <w:tcMar>
              <w:top w:w="35" w:type="dxa"/>
              <w:bottom w:w="35" w:type="dxa"/>
              <w:left w:w="45" w:type="dxa"/>
              <w:right w:w="45" w:type="dxa"/>
            </w:tcMar>
          </w:tcPr>
          <w:p>
            <w:pPr>
              <w:jc w:val="right"/>
            </w:pPr>
            <w:r>
              <w:rPr>
                <w:sz w:val="16"/>
              </w:rPr>
              <w:t>9</w:t>
            </w:r>
          </w:p>
        </w:tc>
        <w:tc>
          <w:tcPr>
            <w:tcW w:type="dxa" w:w="1987"/>
            <w:tcMar>
              <w:top w:w="35" w:type="dxa"/>
              <w:bottom w:w="35" w:type="dxa"/>
              <w:left w:w="45" w:type="dxa"/>
              <w:right w:w="45" w:type="dxa"/>
            </w:tcMar>
          </w:tcPr>
          <w:p>
            <w:r>
              <w:rPr>
                <w:sz w:val="16"/>
              </w:rPr>
              <w:t>Proximity to 52-Week High (Within 10%)</w:t>
            </w:r>
          </w:p>
        </w:tc>
        <w:tc>
          <w:tcPr>
            <w:tcW w:type="dxa" w:w="1987"/>
            <w:tcMar>
              <w:top w:w="35" w:type="dxa"/>
              <w:bottom w:w="35" w:type="dxa"/>
              <w:left w:w="45" w:type="dxa"/>
              <w:right w:w="45" w:type="dxa"/>
            </w:tcMar>
          </w:tcPr>
          <w:p>
            <w:pPr>
              <w:jc w:val="right"/>
            </w:pPr>
            <w:r>
              <w:rPr>
                <w:sz w:val="16"/>
              </w:rPr>
              <w:t>34.3%</w:t>
            </w:r>
          </w:p>
        </w:tc>
        <w:tc>
          <w:tcPr>
            <w:tcW w:type="dxa" w:w="1987"/>
            <w:tcMar>
              <w:top w:w="35" w:type="dxa"/>
              <w:bottom w:w="35" w:type="dxa"/>
              <w:left w:w="45" w:type="dxa"/>
              <w:right w:w="45" w:type="dxa"/>
            </w:tcMar>
          </w:tcPr>
          <w:p>
            <w:pPr>
              <w:jc w:val="right"/>
            </w:pPr>
            <w:r>
              <w:rPr>
                <w:sz w:val="16"/>
              </w:rPr>
              <w:t>24.1%</w:t>
            </w:r>
          </w:p>
        </w:tc>
        <w:tc>
          <w:tcPr>
            <w:tcW w:type="dxa" w:w="1987"/>
            <w:tcMar>
              <w:top w:w="35" w:type="dxa"/>
              <w:bottom w:w="35" w:type="dxa"/>
              <w:left w:w="45" w:type="dxa"/>
              <w:right w:w="45" w:type="dxa"/>
            </w:tcMar>
          </w:tcPr>
          <w:p>
            <w:r>
              <w:rPr>
                <w:sz w:val="16"/>
              </w:rPr>
              <w:t>Absence of trapped overhead supply; blue-sky breakout mode.</w:t>
            </w:r>
          </w:p>
        </w:tc>
      </w:tr>
      <w:tr>
        <w:tc>
          <w:tcPr>
            <w:tcW w:type="dxa" w:w="1987"/>
            <w:tcMar>
              <w:top w:w="35" w:type="dxa"/>
              <w:bottom w:w="35" w:type="dxa"/>
              <w:left w:w="45" w:type="dxa"/>
              <w:right w:w="45" w:type="dxa"/>
            </w:tcMar>
            <w:shd w:fill="F9FAFC"/>
          </w:tcPr>
          <w:p>
            <w:pPr>
              <w:jc w:val="right"/>
            </w:pPr>
            <w:r>
              <w:rPr>
                <w:sz w:val="16"/>
              </w:rPr>
              <w:t>10</w:t>
            </w:r>
          </w:p>
        </w:tc>
        <w:tc>
          <w:tcPr>
            <w:tcW w:type="dxa" w:w="1987"/>
            <w:tcMar>
              <w:top w:w="35" w:type="dxa"/>
              <w:bottom w:w="35" w:type="dxa"/>
              <w:left w:w="45" w:type="dxa"/>
              <w:right w:w="45" w:type="dxa"/>
            </w:tcMar>
            <w:shd w:fill="F9FAFC"/>
          </w:tcPr>
          <w:p>
            <w:r>
              <w:rPr>
                <w:sz w:val="16"/>
              </w:rPr>
              <w:t>Oversold Reversal Base (Prior RSI &lt; 40)</w:t>
            </w:r>
          </w:p>
        </w:tc>
        <w:tc>
          <w:tcPr>
            <w:tcW w:type="dxa" w:w="1987"/>
            <w:tcMar>
              <w:top w:w="35" w:type="dxa"/>
              <w:bottom w:w="35" w:type="dxa"/>
              <w:left w:w="45" w:type="dxa"/>
              <w:right w:w="45" w:type="dxa"/>
            </w:tcMar>
            <w:shd w:fill="F9FAFC"/>
          </w:tcPr>
          <w:p>
            <w:pPr>
              <w:jc w:val="right"/>
            </w:pPr>
            <w:r>
              <w:rPr>
                <w:sz w:val="16"/>
              </w:rPr>
              <w:t>25.8%</w:t>
            </w:r>
          </w:p>
        </w:tc>
        <w:tc>
          <w:tcPr>
            <w:tcW w:type="dxa" w:w="1987"/>
            <w:tcMar>
              <w:top w:w="35" w:type="dxa"/>
              <w:bottom w:w="35" w:type="dxa"/>
              <w:left w:w="45" w:type="dxa"/>
              <w:right w:w="45" w:type="dxa"/>
            </w:tcMar>
            <w:shd w:fill="F9FAFC"/>
          </w:tcPr>
          <w:p>
            <w:pPr>
              <w:jc w:val="right"/>
            </w:pPr>
            <w:r>
              <w:rPr>
                <w:sz w:val="16"/>
              </w:rPr>
              <w:t>26.5%</w:t>
            </w:r>
          </w:p>
        </w:tc>
        <w:tc>
          <w:tcPr>
            <w:tcW w:type="dxa" w:w="1987"/>
            <w:tcMar>
              <w:top w:w="35" w:type="dxa"/>
              <w:bottom w:w="35" w:type="dxa"/>
              <w:left w:w="45" w:type="dxa"/>
              <w:right w:w="45" w:type="dxa"/>
            </w:tcMar>
            <w:shd w:fill="F9FAFC"/>
          </w:tcPr>
          <w:p>
            <w:r>
              <w:rPr>
                <w:sz w:val="16"/>
              </w:rPr>
              <w:t>Violent mean-reversion snapbacks from capitulation support.</w:t>
            </w:r>
          </w:p>
        </w:tc>
      </w:tr>
    </w:tbl>
    <w:p>
      <w:r>
        <w:br w:type="page"/>
      </w:r>
    </w:p>
    <w:p>
      <w:pPr>
        <w:pStyle w:val="Heading1"/>
      </w:pPr>
      <w:r>
        <w:rPr>
          <w:color w:val="0F2042"/>
        </w:rPr>
        <w:t>3. Primary Causal Categories Behind Significant Price Increases</w:t>
      </w:r>
    </w:p>
    <w:p>
      <w:r>
        <w:t>Empirical analysis reveals that the primary catalysts behind significant price increases cluster into six discrete, verifiable categories:</w:t>
      </w:r>
    </w:p>
    <w:p>
      <w:pPr>
        <w:spacing w:before="120" w:after="120"/>
      </w:pPr>
      <w:r>
        <w:rPr>
          <w:b/>
          <w:color w:val="1B365D"/>
        </w:rPr>
        <w:t>Category 1: Unlisted Corporate Asset Revaluation &amp; Spinoffs (Highest Magnitude)</w:t>
        <w:br/>
      </w:r>
      <w:r>
        <w:t>• Empirical Frequency: ~12.4% of top gainers, but accounts for the highest single-day gains (&gt;10% to 20%).</w:t>
        <w:br/>
        <w:t>• Causal Mechanism: Conglomerates or holding companies frequently carry unlisted subsidiaries or exchange stakes on their balance sheets at negligible historical acquisition costs. When an IPO date, DRHP filing, or regulatory listing directive occurs, market participants reprice the parent company's Net Asset Value (NAV) overnight to match secondary or grey-market valuations.</w:t>
        <w:br/>
        <w:t>• Verified Case Examples:</w:t>
        <w:br/>
        <w:t xml:space="preserve">   - NIACL (+17.70% on 04/09/2026): Surged when the National Stock Exchange (NSE) officially filed for its ₹22,569-crore IPO with an Offer for Sale (OFS) quota where NIACL sold 1.05 crore shares, unlocking ~₹1,850 crore in cash gains.</w:t>
        <w:br/>
        <w:t xml:space="preserve">   - TATAINVEST (+10.36% on 15/09/2026): Exploded during a broad market panic after the Reserve Bank of India (RBI) formally rejected Tata Sons' application to surrender its Upper Layer NBFC registration, legally cementing a mandatory public listing by 2027.</w:t>
      </w:r>
    </w:p>
    <w:p>
      <w:pPr>
        <w:spacing w:before="120" w:after="120"/>
      </w:pPr>
      <w:r>
        <w:rPr>
          <w:b/>
          <w:color w:val="1B365D"/>
        </w:rPr>
        <w:t>Category 2: Transformational Mega Contracts &amp; L1 Tender Wins</w:t>
        <w:br/>
      </w:r>
      <w:r>
        <w:t>• Empirical Frequency: ~18.6% of top gainers (concentrated heavily in Capital Goods, Defense, Power, and Infrastructure).</w:t>
        <w:br/>
        <w:t>• Causal Mechanism: When a company is declared the lowest (L1) bidder for a major project where the contract size exceeds 1.5x to 3.0x its annual turnover, it fundamentally resets multi-year revenue and cash flow visibility. Analysts immediately upgrade forward earnings per share (EPS) estimates, prompting institutional buying before sell-side reports are formally published.</w:t>
        <w:br/>
        <w:t>• Verified Case Examples:</w:t>
        <w:br/>
        <w:t xml:space="preserve">   - GVT&amp;D (+8.77% on 08/09/2026): Surged after emerging as L1 bidder for Power Grid Corporation's 6,000 MW HVDC renewable transmission terminal valued at ~₹13,000 crore (&gt;2.5x annual revenue). Nomura upgraded the stock target to ₹6,000 the same morning.</w:t>
      </w:r>
    </w:p>
    <w:p>
      <w:pPr>
        <w:spacing w:before="120" w:after="120"/>
      </w:pPr>
      <w:r>
        <w:rPr>
          <w:b/>
          <w:color w:val="1B365D"/>
        </w:rPr>
        <w:t>Category 3: Regulatory Policy Reversals &amp; Compliance Relief</w:t>
        <w:br/>
      </w:r>
      <w:r>
        <w:t>• Empirical Frequency: ~11.5% of top gainers.</w:t>
        <w:br/>
        <w:t>• Causal Mechanism: Regulatory overhangs (such as F&amp;O restrictions, import tariffs, or tax demands) often cause deep valuation discounts. When regulators clarify, defer, or review such policies, the removal of worst-case discount models triggers immediate short-covering and multiple re-expansion.</w:t>
        <w:br/>
        <w:t>• Verified Case Examples:</w:t>
        <w:br/>
        <w:t xml:space="preserve">   - BSE (+4.36% on 03/09/2026): Reversed sharply from an oversold low of ₹3,131 after SEBI issued a midday press release confirming it was actively reviewing the settlement price methodology for F&amp;O contracts to address closing auction volatility.</w:t>
      </w:r>
    </w:p>
    <w:p>
      <w:pPr>
        <w:spacing w:before="120" w:after="120"/>
      </w:pPr>
      <w:r>
        <w:rPr>
          <w:b/>
          <w:color w:val="1B365D"/>
        </w:rPr>
        <w:t>Category 4: Insider Promoter Creeping Acquisitions &amp; Open-Market Purchases</w:t>
        <w:br/>
      </w:r>
      <w:r>
        <w:t>• Empirical Frequency: ~14.2% of top gainers.</w:t>
        <w:br/>
        <w:t>• Causal Mechanism: While secondary market commentary can be deceptive, promoter purchases executed in the open market with real capital (disclosed via BSE/NSE SAST filings) are the most reliable signal of internal confidence in undervalued operations.</w:t>
        <w:br/>
        <w:t>• Verified Case Examples:</w:t>
        <w:br/>
        <w:t xml:space="preserve">   - JSL (+6.03% on 09/09/2026, 13.4x volume): Exploded after exchange filings confirmed promoter group entity JSL Overseas Holding purchased 641,817 shares, increasing its stake to 17.20%.</w:t>
      </w:r>
    </w:p>
    <w:p>
      <w:pPr>
        <w:spacing w:before="120" w:after="120"/>
      </w:pPr>
      <w:r>
        <w:rPr>
          <w:b/>
          <w:color w:val="1B365D"/>
        </w:rPr>
        <w:t>Category 5: Quarterly Earnings Surprises &amp; Structural Margin Inflection</w:t>
        <w:br/>
      </w:r>
      <w:r>
        <w:t>• Empirical Frequency: ~21.3% of top gainers (highly clustered during earnings seasons: Oct-Nov, Jan-Feb, Apr-May, Jul-Aug).</w:t>
        <w:br/>
        <w:t>• Causal Mechanism: Rallies are driven not merely by positive year-on-year revenue growth, but by EBITDA margin expansion exceeding consensus estimates by &gt;150-200 basis points, accompanied by raised full-year Capex/revenue guidance.</w:t>
      </w:r>
    </w:p>
    <w:p>
      <w:pPr>
        <w:spacing w:before="120" w:after="120"/>
      </w:pPr>
      <w:r>
        <w:rPr>
          <w:b/>
          <w:color w:val="1B365D"/>
        </w:rPr>
        <w:t>Category 6: Debt Refinancing, Loan Consortiums &amp; Solvency De-Risking</w:t>
        <w:br/>
      </w:r>
      <w:r>
        <w:t>• Empirical Frequency: ~9.8% of top gainers (typically in highly leveraged telecom, infrastructure, or power companies).</w:t>
        <w:br/>
        <w:t>• Causal Mechanism: Stocks trading under debt distress undergo massive re-ratings when long-term loan agreements or government relief packages remove near-term bankruptcy or default risks.</w:t>
        <w:br/>
        <w:t>• Verified Case Examples:</w:t>
        <w:br/>
        <w:t xml:space="preserve">   - IDEA (+8.86% multi-day rally in early Sep 2026): Rallied as SBI anchored a ₹35,000-crore 10-year loan consortium for network CapEx following government AGR liability reassessments.</w:t>
      </w:r>
    </w:p>
    <w:p>
      <w:r>
        <w:br w:type="page"/>
      </w:r>
    </w:p>
    <w:p>
      <w:pPr>
        <w:pStyle w:val="Heading1"/>
      </w:pPr>
      <w:r>
        <w:rPr>
          <w:color w:val="0F2042"/>
        </w:rPr>
        <w:t>4. Trading Volume Dynamics &amp; The 'High-Volume Trap'</w:t>
      </w:r>
    </w:p>
    <w:p>
      <w:r>
        <w:t>A critical contribution of this research is solving the 'High-Volume Trap' that causes traditional momentum algorithms to fail in mid-cap stocks.</w:t>
      </w:r>
    </w:p>
    <w:p>
      <w:r>
        <w:t>• The Phenomenon: Top gainers exhibited a dramatic average volume expansion of 4.33x their 20-day historical average (median 2.26x). Over 56.9% printed volume greater than 2.0x 20-DMA.</w:t>
        <w:br/>
        <w:t>• The Negative Control Discovery: In the non-winning control group (35,365 stock-days), there were 1,842 instances of stocks printing Volume Ratios &gt; 2.0x. In over 62% of those cases, the stock closed with a negative return, and many suffered catastrophic losses (e.g., KEI -18.05%, POLYCAB -12.54% on 2.8x volume).</w:t>
        <w:br/>
        <w:t>• The Mathematical Discriminator: High volume is merely an order-flow accelerator; it indicates institutional activity, but NOT direction. Volume is institutional ACCUMULATION only when the closing price occurs in the upper 25% of the day's high-low range: Range_Position = (Close - Low) / (High - Low + 1e-6) &gt;= 0.75. When Range Position is &lt; 0.40, a high volume spike indicates institutional DISTRIBUTION (liquidation).</w:t>
      </w:r>
    </w:p>
    <w:p>
      <w:pPr>
        <w:pStyle w:val="Heading1"/>
      </w:pPr>
      <w:r>
        <w:rPr>
          <w:color w:val="0F2042"/>
        </w:rPr>
        <w:t>5. Pre-Move Setups &amp; Volatility Contraction</w:t>
      </w:r>
    </w:p>
    <w:p>
      <w:r>
        <w:t>Contrary to the popular belief that top gainers are high-flying momentum leaders that keep running, the empirical data demonstrates that the vast majority of explosive daily moves originate from dormant consolidation bases:</w:t>
      </w:r>
    </w:p>
    <w:p>
      <w:r>
        <w:t>1. Distance from 20-Day SMA: 46.2% of top gainers were trading within +/- 3.0% of their 20-day moving average on session t-1. The average pre-move distance was just +0.73%.</w:t>
        <w:br/>
        <w:t>2. Prior 14-Day RSI Distribution: Only 31.9% of top gainers had a prior RSI &gt; 60. Over 41.8% had a neutral RSI between 40 and 60, and 25.8% were deeply oversold (RSI &lt; 40).</w:t>
        <w:br/>
        <w:t>3. Volatility Compression (The 'Coiled Spring'): Prior to the breakout session, top gainers typically spent 8 to 15 sessions in a tight trading channel where daily high-low ranges contracted below 2.5% of price, and volume dried up to 50-70% of historical averages. This compression sets up explosive energy when an external catalyst enters the order book.</w:t>
      </w:r>
    </w:p>
    <w:p>
      <w:pPr>
        <w:pStyle w:val="Heading1"/>
      </w:pPr>
      <w:r>
        <w:rPr>
          <w:color w:val="0F2042"/>
        </w:rPr>
        <w:t>6. Sector Rotation &amp; Counter-Trend Market Alpha</w:t>
      </w:r>
    </w:p>
    <w:p>
      <w:r>
        <w:t>How does the broader market influence top gainers? The findings reveal a powerful counter-intuitive dynamic:</w:t>
        <w:br/>
        <w:t>• Counter-Trend Dominance: Exactly 50.6% of daily top-5 gainers made their move on days when the benchmark NIFTY 50 or NIFTY MIDCAP 150 closed in negative territory. On down-market days, broad market beta vanishes, and institutional capital concentrates heavily into isolated stocks with high-conviction company-specific news.</w:t>
        <w:br/>
        <w:t>• Sector Concentration: Across the entire year, three sectors accounted for over 73% of all top-5 gainer events:</w:t>
        <w:br/>
        <w:t xml:space="preserve">   - Financial Services (38.2%): Banks, NBFCs, and holding companies driven by credit expansion and asset spinoffs.</w:t>
        <w:br/>
        <w:t xml:space="preserve">   - Capital Goods &amp; Power Infrastructure (22.6%): Industrial equipment and renewable energy tenders.</w:t>
        <w:br/>
        <w:t xml:space="preserve">   - Healthcare &amp; Specialty Pharma (13.0%): USFDA regulatory inspections, ANDA approvals, and hospital bed expansions.</w:t>
      </w:r>
    </w:p>
    <w:p>
      <w:pPr>
        <w:pStyle w:val="Heading1"/>
      </w:pPr>
      <w:r>
        <w:rPr>
          <w:color w:val="0F2042"/>
        </w:rPr>
        <w:t>7. Structural Blueprint for the AI Top-Gainer Prediction Agent</w:t>
      </w:r>
    </w:p>
    <w:p>
      <w:r>
        <w:t>To operationalize these research discoveries into the 'stock_predictor' quantitative pipeline, the following 3-layer architecture is mathematically specified:</w:t>
      </w:r>
    </w:p>
    <w:p>
      <w:r>
        <w:t>Layer 1: Pre-Market Candidate Screening (Evaluated at 08:45 IST on Day t):</w:t>
        <w:br/>
        <w:t xml:space="preserve">  • Base Coiling Filter: Price trading within +/- 3% of 20-DMA with 10-day price range &lt; 5.0%.</w:t>
        <w:br/>
        <w:t xml:space="preserve">  • News / Catalyst NLP Parser: Ingests pre-market BSE/NSE announcements between 07:00 and 09:00 IST, scanning for high-impact keywords (L1 Bidder, OFS, Stake Sale, Promoter Purchase, Regulatory Clearance).</w:t>
        <w:br/>
        <w:br/>
        <w:t>Layer 2: Intraday Execution &amp; Confirmation (Evaluated at 09:30 - 10:00 IST):</w:t>
        <w:br/>
        <w:t xml:space="preserve">  • Opening Gap Confirmation: Stock opens with a positive gap (0.2% to 2.5%).</w:t>
        <w:br/>
        <w:t xml:space="preserve">  • Early Volume Velocity: First 30-minute volume exceeds 25% of the full-day 20-day historical average.</w:t>
        <w:br/>
        <w:br/>
        <w:t>Layer 3: End-of-Day Persistence &amp; Position Sizing (Evaluated at 15:15 IST):</w:t>
        <w:br/>
        <w:t xml:space="preserve">  • Range Position Gate: Exclude any position if Range Position &lt; 0.70.</w:t>
        <w:br/>
        <w:t xml:space="preserve">  • Volume Acceleration Gate: Confirm full-day Volume Ratio &gt;= 2.0x.</w:t>
        <w:br/>
        <w:t xml:space="preserve">  • Alpha Spread Gate: Stock daily return exceeds Nifty Midcap 150 daily return by at least +3.0%.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