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0"/>
        </w:rPr>
        <w:t>Quantitative Forensic Audit: Trade Frequency vs. Daily Top-Gainer Opportunity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Selectivity Dynamics, Filter Rejection Causality, Opportunity Capture Rates &amp; Systematic Ablations</w:t>
      </w:r>
    </w:p>
    <w:p>
      <w:pPr>
        <w:jc w:val="center"/>
      </w:pPr>
      <w:r>
        <w:rPr>
          <w:rFonts w:ascii="Calibri" w:hAnsi="Calibri"/>
          <w:color w:val="475569"/>
          <w:sz w:val="18"/>
        </w:rPr>
        <w:t>5-Year Dataset: Sep 20, 2021 – Sep 18, 2026 (1,241 Sessions, 169,920 Stock-Days) | Target: Win Rate &gt;= 74.0%</w:t>
      </w:r>
    </w:p>
    <w:p/>
    <w:p>
      <w:r>
        <w:rPr>
          <w:rFonts w:ascii="Calibri" w:hAnsi="Calibri"/>
          <w:b/>
          <w:color w:val="1E293B"/>
          <w:sz w:val="26"/>
        </w:rPr>
        <w:t>1. Master Filter Ablation &amp; Sensitivity Matrix (5-Year Backtest)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Strategy Configuration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Trades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Traded Days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Win Rate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Profit Factor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Sharpe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Max DD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5-Year Net P&amp;L (INR)</w:t>
            </w:r>
          </w:p>
        </w:tc>
        <w:tc>
          <w:tcPr>
            <w:tcW w:type="dxa" w:w="11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Holdout WR</w:t>
            </w:r>
          </w:p>
        </w:tc>
      </w:tr>
      <w:tr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1. Baseline (Current Strategy)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681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378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74.16%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16.54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4.29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-0.25%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₹18,418,275</w:t>
            </w:r>
          </w:p>
        </w:tc>
        <w:tc>
          <w:tcPr>
            <w:tcW w:type="dxa" w:w="11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80.34%</w:t>
            </w:r>
          </w:p>
        </w:tc>
      </w:tr>
      <w:tr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2. Remove Gap-Fill Rejection (Allow all gaps)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2,121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642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28.38%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0.72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-1.47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-40.83%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₹-3,849,412</w:t>
            </w:r>
          </w:p>
        </w:tc>
        <w:tc>
          <w:tcPr>
            <w:tcW w:type="dxa" w:w="11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34.24%</w:t>
            </w:r>
          </w:p>
        </w:tc>
      </w:tr>
      <w:tr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3. Widen Gap Range (0.0% to 3.0%)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1,034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484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73.11%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11.17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5.14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-0.44%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₹27,966,973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74.59%</w:t>
            </w:r>
          </w:p>
        </w:tc>
      </w:tr>
      <w:tr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4. Remove Benchmark Gate (Trade in all markets)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790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469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75.06%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16.82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4.66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-0.23%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₹21,188,533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80.88%</w:t>
            </w:r>
          </w:p>
        </w:tc>
      </w:tr>
      <w:tr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 Relax Benchmark Gate (Allow midcap_ret &gt;= -0.30%)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681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378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74.16%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16.54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4.29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-0.25%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₹18,418,275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80.34%</w:t>
            </w:r>
          </w:p>
        </w:tc>
      </w:tr>
      <w:tr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6. Relax Volume Thrust (vol_prev_ratio &gt;= 1.0x)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1,078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471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72.73%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13.70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5.20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-0.26%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₹27,250,404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80.43%</w:t>
            </w:r>
          </w:p>
        </w:tc>
      </w:tr>
      <w:tr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7. Relax Coiling (dist_sma20 &lt;= 3.0%, RSI 35-70)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1,356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522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74.71%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15.76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5.86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-0.25%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₹37,899,043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76.85%</w:t>
            </w:r>
          </w:p>
        </w:tc>
      </w:tr>
      <w:tr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8. Increase Max Positions (5 -&gt; 10)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682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378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74.19%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16.54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4.29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-0.25%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₹18,432,474</w:t>
            </w:r>
          </w:p>
        </w:tc>
        <w:tc>
          <w:tcPr>
            <w:tcW w:type="dxa" w:w="1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80.34%</w:t>
            </w:r>
          </w:p>
        </w:tc>
      </w:tr>
      <w:tr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9. Combined Moderate Relaxation (Gap 0.2-2.5%, Coiling &lt;=2.5%, Bmark &gt;=-0.2%)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1,469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539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73.59%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11.18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5.82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-0.46%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₹38,979,725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80.60%</w:t>
            </w:r>
          </w:p>
        </w:tc>
      </w:tr>
    </w:tbl>
    <w:p/>
    <w:p>
      <w:r>
        <w:rPr>
          <w:rFonts w:ascii="Calibri" w:hAnsi="Calibri"/>
          <w:b/>
          <w:color w:val="1E293B"/>
          <w:sz w:val="26"/>
        </w:rPr>
        <w:t>2. Exact Causal Breakdown of Zero-Trade Days (863 Sessions)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Root Rejection Cause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Days Affected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% Zero Days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Quantitative &amp; Market Rationale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Benchmark Headwind (Index &lt; +0.10%)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512 days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59.33%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Broader market opened weak/red. Halts long buying to prevent high-beta drag.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Micro-Filter Combination Failure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284 days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32.91%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Market green, but individual gapping stocks lacked coiling or volume thrust.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Volume Thrust / Catalyst Absent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50 days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5.79%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Gapping coiled stocks lacked t-1 institutional accumulation (vol_ratio &lt; 1.5x).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Gap-Fill Rejection Failed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14 days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1.62%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Opening gap immediately breached (Low &lt; Prev_Close), failing buyer defense test.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Clean Gap Window Missed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 day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0.12%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All candidate gaps were &lt; +0.40% or &gt; +1.60%.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Max Concurrent Positions Cap (5/5)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 days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0.23%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Valid candidates arrived, but portfolio had 5 active multi-day swing positions.</w:t>
            </w:r>
          </w:p>
        </w:tc>
      </w:tr>
    </w:tbl>
    <w:p/>
    <w:p>
      <w:r>
        <w:rPr>
          <w:rFonts w:ascii="Calibri" w:hAnsi="Calibri"/>
          <w:b/>
          <w:color w:val="1E293B"/>
          <w:sz w:val="26"/>
        </w:rPr>
        <w:t>3. Forensic Counterfactual: What Happens if You Trade Rejected Top Gainers?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Counterfactual Metric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Share %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Analytical Finding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Total Universe Rank #1 Gainers Evaluated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1,949 stock-days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100.0%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Full 5-year sample of daily top gainers.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Rank #1 Gainers Passing All Strategy Filters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21 stock-days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1.08%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Traded cleanly with 74.2% win rate.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Rank #1 Gainers Rejected by Filters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1,928 stock-days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98.92%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Failed 1 or more pre-market / opening gates.</w:t>
            </w:r>
          </w:p>
        </w:tc>
      </w:tr>
      <w:tr>
        <w:tc>
          <w:tcPr>
            <w:tcW w:type="dxa" w:w="25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Hypothetical Wins if Rejected Gainer Traded</w:t>
            </w:r>
          </w:p>
        </w:tc>
        <w:tc>
          <w:tcPr>
            <w:tcW w:type="dxa" w:w="25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680 trades</w:t>
            </w:r>
          </w:p>
        </w:tc>
        <w:tc>
          <w:tcPr>
            <w:tcW w:type="dxa" w:w="25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35.27%</w:t>
            </w:r>
          </w:p>
        </w:tc>
        <w:tc>
          <w:tcPr>
            <w:tcW w:type="dxa" w:w="2520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Only 35% produced a profit at open!</w:t>
            </w:r>
          </w:p>
        </w:tc>
      </w:tr>
      <w:tr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Hypothetical Losses if Rejected Gainer Traded</w:t>
            </w:r>
          </w:p>
        </w:tc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1,248 trades</w:t>
            </w:r>
          </w:p>
        </w:tc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64.73%</w:t>
            </w:r>
          </w:p>
        </w:tc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65% resulted in net losses!</w:t>
            </w:r>
          </w:p>
        </w:tc>
      </w:tr>
      <w:tr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Initial Stop Loss (-1.8%) Hit Immediately</w:t>
            </w:r>
          </w:p>
        </w:tc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529 trades</w:t>
            </w:r>
          </w:p>
        </w:tc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27.44%</w:t>
            </w:r>
          </w:p>
        </w:tc>
        <w:tc>
          <w:tcPr>
            <w:tcW w:type="dxa" w:w="2520"/>
            <w:shd w:fill="FEE2E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Severe morning whipsaws triggered stops.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