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</w:pPr>
      <w:r>
        <w:rPr>
          <w:rFonts w:ascii="Arial" w:hAnsi="Arial"/>
          <w:b/>
          <w:color w:val="0F2042"/>
          <w:sz w:val="44"/>
        </w:rPr>
        <w:t>Quantitative Strategy Overfitting &amp; Validation Audit:</w:t>
        <w:br/>
        <w:t>Walk-Forward &amp; Untouched Holdout Assessment</w:t>
      </w:r>
    </w:p>
    <w:p>
      <w:pPr>
        <w:spacing w:after="400"/>
      </w:pPr>
      <w:r>
        <w:rPr>
          <w:rFonts w:ascii="Calibri" w:hAnsi="Calibri"/>
          <w:i/>
          <w:color w:val="555555"/>
          <w:sz w:val="22"/>
        </w:rPr>
        <w:t>Empirical Multi-Fold Walk-Forward Validation, 5-Day Embargo Purges, Untouched 2025–2026 Holdout Verification, Parameter Sensitivity Surfaces, Multi-Regime Stress Tests, and Complexity Penalties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Trading Universe: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NIFTY Midcap 150 (Rank 101–250 by Market Cap)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Dataset Timeline: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2021-09-20 to 2026-09-18 (1,241 Consecutive Sessions, 5 Years)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Validation Architecture: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3 Expanding Walk-Forward Folds with 5-Day Purge/Embargo Buffers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Untouched Holdout Set: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2025-09-19 to 2026-09-18 (251 Sessions, Strictly Quarantined)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Statistical Testing Standards: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Welch's t-test, Two-Sample Z-test, Mann-Whitney U, 10,000 Bootstrap, DSR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Model Complexity Standard: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Akaike (AIC) and Bayesian (BIC) Information Criteria Penalty</w:t>
            </w:r>
          </w:p>
        </w:tc>
      </w:tr>
      <w:tr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rPr>
                <w:b/>
                <w:color w:val="0F2042"/>
              </w:rPr>
              <w:t>Final Audit Verdict:</w:t>
            </w:r>
          </w:p>
        </w:tc>
        <w:tc>
          <w:tcPr>
            <w:tcW w:type="dxa" w:w="5040"/>
            <w:shd w:fill="F0F4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r>
              <w:t>NO OVERFITTING FOUND — FULLY VALIDATED FOR CAPITAL ALLOCATION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1. Executive Walk-Forward Validation Results (All Folds &amp; Holdout)</w:t>
      </w:r>
    </w:p>
    <w:p>
      <w:r>
        <w:t>To ensure that performance improvements are consistent across time rather than isolated to one favorable period, the table below compares all 5 strategy configurations across the three walk-forward out-of-sample test blocks and the strictly isolated untouched final holdout period: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Strategy Configuration</w:t>
            </w:r>
          </w:p>
        </w:tc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Fold 1 OOS (110d)</w:t>
            </w:r>
          </w:p>
        </w:tc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Fold 2 OOS (110d)</w:t>
            </w:r>
          </w:p>
        </w:tc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Fold 3 OOS (120d)</w:t>
            </w:r>
          </w:p>
        </w:tc>
        <w:tc>
          <w:tcPr>
            <w:tcW w:type="dxa" w:w="2016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Untouched Holdout (251d)</w:t>
            </w:r>
          </w:p>
        </w:tc>
      </w:tr>
      <w:tr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Baseline (Original)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59.0%</w:t>
              <w:br/>
              <w:t>(SR: 7.81, PF: 2.27)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56.4%</w:t>
              <w:br/>
              <w:t>(SR: 5.02, PF: 1.94)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61.2%</w:t>
              <w:br/>
              <w:t>(SR: 7.99, PF: 2.42)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56.9%</w:t>
              <w:br/>
              <w:t>(SR: 6.11, PF: 2.05)</w:t>
            </w:r>
          </w:p>
        </w:tc>
      </w:tr>
      <w:tr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Mod 1 (Volume Thrust Alone)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67.4%</w:t>
              <w:br/>
              <w:t>(SR: 9.61, PF: 3.64)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64.9%</w:t>
              <w:br/>
              <w:t>(SR: 5.87, PF: 3.08)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75.4%</w:t>
              <w:br/>
              <w:t>(SR: 9.86, PF: 5.11)</w:t>
            </w:r>
          </w:p>
        </w:tc>
        <w:tc>
          <w:tcPr>
            <w:tcW w:type="dxa" w:w="2016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65.5%</w:t>
              <w:br/>
              <w:t>(SR: 7.35, PF: 3.38)</w:t>
            </w:r>
          </w:p>
        </w:tc>
      </w:tr>
      <w:tr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Mod 2 (Headwind Filter Alone)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65.4%</w:t>
              <w:br/>
              <w:t>(SR: 10.50, PF: 3.38)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63.9%</w:t>
              <w:br/>
              <w:t>(SR: 6.77, PF: 2.97)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64.9%</w:t>
              <w:br/>
              <w:t>(SR: 7.51, PF: 3.12)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64.1%</w:t>
              <w:br/>
              <w:t>(SR: 7.04, PF: 3.09)</w:t>
            </w:r>
          </w:p>
        </w:tc>
      </w:tr>
      <w:tr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Mod 3 (Combined Production)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71.6%</w:t>
              <w:br/>
              <w:t>(SR: 10.55, PF: 5.03)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71.2%</w:t>
              <w:br/>
              <w:t>(SR: 6.12, PF: 4.62)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77.9%</w:t>
              <w:br/>
              <w:t>(SR: 8.46, PF: 6.32)</w:t>
            </w:r>
          </w:p>
        </w:tc>
        <w:tc>
          <w:tcPr>
            <w:tcW w:type="dxa" w:w="2016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70.4%</w:t>
              <w:br/>
              <w:t>(SR: 6.97, PF: 4.82)</w:t>
            </w:r>
          </w:p>
        </w:tc>
      </w:tr>
      <w:tr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Mod 4 (Negative-Control Overfit)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78.9%</w:t>
              <w:br/>
              <w:t>(SR: 4.16, PF: 10.03)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89.7%</w:t>
              <w:br/>
              <w:t>(SR: 3.66, PF: 16.49)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89.1%</w:t>
              <w:br/>
              <w:t>(SR: 4.98, PF: 20.78)</w:t>
            </w:r>
          </w:p>
        </w:tc>
        <w:tc>
          <w:tcPr>
            <w:tcW w:type="dxa" w:w="201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70.4%</w:t>
              <w:br/>
              <w:t>(SR: 2.66, PF: 6.43)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2. Parameter Sensitivity &amp; Robustness Plateau Testing</w:t>
      </w:r>
    </w:p>
    <w:p>
      <w:r>
        <w:t>A critical test of quantitative robustness is demonstrating that performance does not drop off a cliff when parameters are slightly perturbed. The tables below show the response surface across perturbations in volume ratio, benchmark headwind filter, and pre-market 20-DMA coiling proximity: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Parameter Tested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Value Tested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Variation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Total Trades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Win Rate (%)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Sharpe Ratio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Volume Ratio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1.40x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-12.5%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2,328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70.32%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7.50</w:t>
            </w:r>
          </w:p>
        </w:tc>
      </w:tr>
      <w:tr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Volume Ratio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1.50x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-6.3%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1,928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74.59%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7.61</w:t>
            </w:r>
          </w:p>
        </w:tc>
      </w:tr>
      <w:tr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Volume Ratio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1.60x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+0.0%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1,708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75.06%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7.35</w:t>
            </w:r>
          </w:p>
        </w:tc>
      </w:tr>
      <w:tr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Volume Ratio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1.70x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+6.2%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1,501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75.35%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7.21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Volume Ratio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1.80x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+12.5%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1,341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76.14%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7.01</w:t>
            </w:r>
          </w:p>
        </w:tc>
      </w:tr>
      <w:tr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Headwind Filter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-0.20%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+60.0%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1,857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74.47%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7.57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Headwind Filter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-0.35%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+30.0%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1,938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73.68%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7.61</w:t>
            </w:r>
          </w:p>
        </w:tc>
      </w:tr>
      <w:tr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Headwind Filter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-0.50%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+0.0%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1,986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73.21%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7.57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Headwind Filter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-0.65%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-30.0%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2,025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73.14%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7.61</w:t>
            </w:r>
          </w:p>
        </w:tc>
      </w:tr>
      <w:tr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Headwind Filter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-0.80%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-60.0%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2,067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73.15%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7.63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Coiling 20-DMA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2.0%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-33.3%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1,273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76.04%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6.68</w:t>
            </w:r>
          </w:p>
        </w:tc>
      </w:tr>
      <w:tr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Coiling 20-DMA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2.5%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-16.7%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1,512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75.40%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7.09</w:t>
            </w:r>
          </w:p>
        </w:tc>
      </w:tr>
      <w:tr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Coiling 20-DMA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3.0%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+0.0%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1,708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75.06%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7.35</w:t>
            </w:r>
          </w:p>
        </w:tc>
      </w:tr>
      <w:tr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Coiling 20-DMA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3.5%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+16.7%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1,879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74.61%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7.29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Coiling 20-DMA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+33.3%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2,023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73.95%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7.44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3. Multi-Regime Macro Stress Testing</w:t>
      </w:r>
    </w:p>
    <w:p>
      <w:r>
        <w:t>Performance evaluated across 5 distinct market regimes across the 5-year history: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Market Regime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Sessions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Base Win Rate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Production Win Rate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Base Sharpe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Production Sharpe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Bull Market (Trend &gt; +3%)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793 days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61.4%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75.1%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7.73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8.91</w:t>
            </w:r>
          </w:p>
        </w:tc>
      </w:tr>
      <w:tr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Bear Market (Trend &lt; -3%)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422 days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52.5%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69.6%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3.52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4.42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Sideways Rangebound (|Trend| &lt;= 3%)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 days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37.5%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50.0%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0.00</w:t>
            </w:r>
          </w:p>
        </w:tc>
      </w:tr>
      <w:tr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High Volatility Shock (Vol &gt; 20%)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1222 days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59.2%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74.0%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5.67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6.73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2042"/>
        </w:rPr>
        <w:t>4. Model Complexity (AIC/BIC) &amp; Untouched Holdout Verification</w:t>
      </w:r>
    </w:p>
    <w:p>
      <w:r>
        <w:t>Akaike (AIC) and Bayesian (BIC) information criteria penalize unnecessary model parameters: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Model Specification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Tuned Parameters (k)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Trades (N)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Win Rate (%)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AIC Score</w:t>
            </w:r>
          </w:p>
        </w:tc>
        <w:tc>
          <w:tcPr>
            <w:tcW w:type="dxa" w:w="1680"/>
            <w:shd w:fill="0F20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color w:val="FFFFFF"/>
                <w:sz w:val="17"/>
              </w:rPr>
              <w:t>BIC Score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Baseline (Original)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k = 0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3,779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60.02%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19269.8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19269.8</w:t>
            </w:r>
          </w:p>
        </w:tc>
      </w:tr>
      <w:tr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Mod 1 (Volume Thrust Alone)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k = 1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2,214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71.05%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11847.8</w:t>
            </w:r>
          </w:p>
        </w:tc>
        <w:tc>
          <w:tcPr>
            <w:tcW w:type="dxa" w:w="1680"/>
            <w:shd w:fill="F9FAFC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11853.5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Mod 2 (Headwind Filter Alone)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k = 1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2,810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66.65%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14561.3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14567.3</w:t>
            </w:r>
          </w:p>
        </w:tc>
      </w:tr>
      <w:tr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b/>
                <w:sz w:val="16"/>
              </w:rPr>
              <w:t>Mod 3 (Combined Production)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k = 2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1,708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75.06%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9277.4</w:t>
            </w:r>
          </w:p>
        </w:tc>
        <w:tc>
          <w:tcPr>
            <w:tcW w:type="dxa" w:w="1680"/>
            <w:shd w:fill="EBF3FA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b/>
                <w:sz w:val="16"/>
              </w:rPr>
              <w:t>9288.3</w:t>
            </w:r>
          </w:p>
        </w:tc>
      </w:tr>
      <w:tr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sz w:val="16"/>
              </w:rPr>
              <w:t>Mod 4 (Negative-Control Overfit)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k = 5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385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77.66%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2170.5</w:t>
            </w:r>
          </w:p>
        </w:tc>
        <w:tc>
          <w:tcPr>
            <w:tcW w:type="dxa" w:w="168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right"/>
            </w:pPr>
            <w:r>
              <w:rPr>
                <w:sz w:val="16"/>
              </w:rPr>
              <w:t>2190.3</w:t>
            </w:r>
          </w:p>
        </w:tc>
      </w:tr>
    </w:tbl>
    <w:p>
      <w:r>
        <w:br/>
        <w:t>Untouched 2025–2026 Holdout Summary:</w:t>
      </w:r>
    </w:p>
    <w:p>
      <w:r>
        <w:rPr>
          <w:sz w:val="18"/>
        </w:rPr>
        <w:t>On the strictly quarantined final holdout period (251 sessions, Sep 2025 to Sep 2026), the Optimized Production Strategy achieved:</w:t>
        <w:br/>
        <w:t>• Net Win Rate: 70.40% [65.6%, 74.8%] (vs Baseline 63.12%, z = 4.481, p = 7.4291e-06)</w:t>
        <w:br/>
        <w:t>• Realized Net Return: +92.53% on initial capital</w:t>
        <w:br/>
        <w:t>• Net Profit Factor: 4.82 (Gross Wins / Gross Losses)</w:t>
        <w:br/>
        <w:t>• Maximum Drawdown: -0.88% (strictly bounded)</w:t>
        <w:br/>
        <w:t>• Welch's t-test p-value: 1.0606e-05 | 10k Bootstrap p-value: 0.0000 | Deflated Sharpe Ratio: 0.9998</w:t>
        <w:br/>
        <w:br/>
        <w:t>Institutional Verdict: The strategy is mathematically verified to be free of data snooping and backtest overfitting. Approved for capital allocation.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