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распространения рекламы для трех случаев. При этом объем</w:t>
      </w:r>
      <w:r>
        <w:t xml:space="preserve"> </w:t>
      </w:r>
      <w:r>
        <w:t xml:space="preserve">аудитории</w:t>
      </w:r>
      <w:r>
        <w:t xml:space="preserve"> </w:t>
      </w:r>
      <m:oMath>
        <m:r>
          <m:t>N</m:t>
        </m:r>
        <m:r>
          <m:t>=</m:t>
        </m:r>
        <m:r>
          <m:t>1225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человек. Для случая</w:t>
      </w:r>
      <w:r>
        <w:t xml:space="preserve"> </w:t>
      </w:r>
      <w:r>
        <w:t xml:space="preserve">2 определить,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Мальтузианская модель роста (</w:t>
      </w:r>
      <w:r>
        <w:t xml:space="preserve">@wiki:Malthusian_growth_model</w:t>
      </w:r>
      <w:r>
        <w:t xml:space="preserve">), также называемая моделью Мальтуса — это</w:t>
      </w:r>
      <w:r>
        <w:t xml:space="preserve"> </w:t>
      </w:r>
      <w:r>
        <w:t xml:space="preserve">экспоненциальный рост с постоянным темпом. Модель названа в честь английского</w:t>
      </w:r>
      <w:r>
        <w:t xml:space="preserve"> </w:t>
      </w:r>
      <w:r>
        <w:t xml:space="preserve">демографа и экономиста Томаса Мальтуса.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r>
          <m:t>d</m:t>
        </m:r>
        <m:r>
          <m:t>n</m:t>
        </m:r>
        <m: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</w:t>
      </w:r>
      <w:r>
        <w:t xml:space="preserve"> </w:t>
      </w:r>
      <w:r>
        <w:t xml:space="preserve">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t>t</m:t>
        </m:r>
        <m:r>
          <m:t>(</m:t>
        </m:r>
        <m: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</w:t>
      </w:r>
      <w:r>
        <w:t xml:space="preserve"> </w:t>
      </w:r>
      <w:r>
        <w:t xml:space="preserve">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, где N - общее число потенциальных платежеспособных</w:t>
      </w:r>
      <w:r>
        <w:t xml:space="preserve"> </w:t>
      </w:r>
      <w:r>
        <w:t xml:space="preserve">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</w:t>
      </w:r>
      <w:r>
        <w:t xml:space="preserve"> </w:t>
      </w:r>
      <w:r>
        <w:t xml:space="preserve">(зависит от затрат на рекламу в данный момент времени). Помимо этого, узнавшие</w:t>
      </w:r>
      <w:r>
        <w:t xml:space="preserve"> </w:t>
      </w:r>
      <w:r>
        <w:t xml:space="preserve">о товаре потребители также распространяют полученную информацию среди</w:t>
      </w:r>
      <w:r>
        <w:t xml:space="preserve"> </w:t>
      </w:r>
      <w:r>
        <w:t xml:space="preserve">потенциальных покупателей, не знающих о нем (в этом случае работает т.н.</w:t>
      </w:r>
      <w:r>
        <w:t xml:space="preserve"> </w:t>
      </w:r>
      <w:r>
        <w:t xml:space="preserve">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, эта величина увеличивается с увеличением</w:t>
      </w:r>
      <w:r>
        <w:t xml:space="preserve"> </w:t>
      </w:r>
      <w:r>
        <w:t xml:space="preserve">потребителей, унавших о товаре.</w:t>
      </w:r>
    </w:p>
    <w:bookmarkEnd w:id="22"/>
    <w:bookmarkStart w:id="38" w:name="выполнение"/>
    <w:p>
      <w:pPr>
        <w:pStyle w:val="Heading1"/>
      </w:pPr>
      <w:r>
        <w:t xml:space="preserve">Выполнение</w:t>
      </w:r>
    </w:p>
    <w:bookmarkStart w:id="27" w:name="уравнение-1"/>
    <w:p>
      <w:pPr>
        <w:pStyle w:val="Heading2"/>
      </w:pPr>
      <w:r>
        <w:t xml:space="preserve">Уравнение 1</w:t>
      </w:r>
    </w:p>
    <w:p>
      <w:pPr>
        <w:numPr>
          <w:ilvl w:val="0"/>
          <w:numId w:val="1001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ode_fn(du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Сохраним результаты нашего решения в график и увидим следующее (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image/lab0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1</w:t>
      </w:r>
    </w:p>
    <w:p>
      <w:pPr>
        <w:numPr>
          <w:ilvl w:val="0"/>
          <w:numId w:val="1003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  Real N = 1225;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(0.815 + 0.000033*n)*(N-n);</w:t>
      </w:r>
      <w:r>
        <w:br/>
      </w:r>
      <w:r>
        <w:rPr>
          <w:rStyle w:val="VerbatimChar"/>
        </w:rPr>
        <w:t xml:space="preserve">end lab07_1</w:t>
      </w:r>
    </w:p>
    <w:p>
      <w:pPr>
        <w:numPr>
          <w:ilvl w:val="0"/>
          <w:numId w:val="1004"/>
        </w:numPr>
        <w:pStyle w:val="Compact"/>
      </w:pPr>
      <w:r>
        <w:t xml:space="preserve">Запустим сиуляцию и увидим следующее (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226215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image/lab07_1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1</w:t>
      </w:r>
    </w:p>
    <w:bookmarkEnd w:id="27"/>
    <w:bookmarkStart w:id="32" w:name="уравнение-2"/>
    <w:p>
      <w:pPr>
        <w:pStyle w:val="Heading2"/>
      </w:pPr>
      <w:r>
        <w:t xml:space="preserve">Уравнение 2</w:t>
      </w:r>
    </w:p>
    <w:p>
      <w:pPr>
        <w:numPr>
          <w:ilvl w:val="0"/>
          <w:numId w:val="1005"/>
        </w:numPr>
        <w:pStyle w:val="Compact"/>
      </w:pPr>
      <w:r>
        <w:t xml:space="preserve">Напишем код на julia, которое решает второе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ode_fn(du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6"/>
        </w:numPr>
        <w:pStyle w:val="Compact"/>
      </w:pPr>
      <w:r>
        <w:t xml:space="preserve">Сохраним результаты нашего решения в график и увидим следующее (</w:t>
      </w:r>
      <w:r>
        <w:t xml:space="preserve">@fig:003</w:t>
      </w:r>
      <w:r>
        <w:t xml:space="preserve">). Момент времени скорость распространения рекламы будет иметь максимальное значение также указан на графике.</w:t>
      </w:r>
    </w:p>
    <w:p>
      <w:pPr>
        <w:pStyle w:val="CaptionedFigure"/>
      </w:pPr>
      <w:bookmarkStart w:id="29" w:name="fig:003"/>
      <w:r>
        <w:drawing>
          <wp:inline>
            <wp:extent cx="5334000" cy="3556000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image/lab0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2</w:t>
      </w:r>
    </w:p>
    <w:p>
      <w:pPr>
        <w:numPr>
          <w:ilvl w:val="0"/>
          <w:numId w:val="1007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(0.000044 + 0.27*n)*(N-n);</w:t>
      </w:r>
      <w:r>
        <w:br/>
      </w:r>
      <w:r>
        <w:rPr>
          <w:rStyle w:val="VerbatimChar"/>
        </w:rPr>
        <w:t xml:space="preserve">end lab07_2;</w:t>
      </w:r>
    </w:p>
    <w:p>
      <w:pPr>
        <w:numPr>
          <w:ilvl w:val="0"/>
          <w:numId w:val="1008"/>
        </w:numPr>
        <w:pStyle w:val="Compact"/>
      </w:pPr>
      <w:r>
        <w:t xml:space="preserve">Запустим сиуляцию и увидим следующее (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226215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image/lab07_2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2</w:t>
      </w:r>
    </w:p>
    <w:bookmarkEnd w:id="32"/>
    <w:bookmarkStart w:id="37" w:name="уравнение-3"/>
    <w:p>
      <w:pPr>
        <w:pStyle w:val="Heading2"/>
      </w:pPr>
      <w:r>
        <w:t xml:space="preserve">Уравнение 3</w:t>
      </w:r>
    </w:p>
    <w:p>
      <w:pPr>
        <w:numPr>
          <w:ilvl w:val="0"/>
          <w:numId w:val="1009"/>
        </w:numPr>
        <w:pStyle w:val="Compact"/>
      </w:pPr>
      <w:r>
        <w:t xml:space="preserve">Напишем код на julia, которое решает третье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ode_fn(du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cos(t)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  <w:pStyle w:val="Compact"/>
      </w:pPr>
      <w:r>
        <w:t xml:space="preserve">Сохраним результаты нашего решения в график и увидим следующее (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4" w:name="fig:005"/>
      <w:r>
        <w:drawing>
          <wp:inline>
            <wp:extent cx="5334000" cy="3556000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image/lab0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3</w:t>
      </w:r>
    </w:p>
    <w:p>
      <w:pPr>
        <w:numPr>
          <w:ilvl w:val="0"/>
          <w:numId w:val="1011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 + 0.8*cos(time)*n)*(N-n);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numPr>
          <w:ilvl w:val="0"/>
          <w:numId w:val="1012"/>
        </w:numPr>
        <w:pStyle w:val="Compact"/>
      </w:pPr>
      <w:r>
        <w:t xml:space="preserve">Запустим сиуляцию и увидим следующее (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6" w:name="fig:006"/>
      <w:r>
        <w:drawing>
          <wp:inline>
            <wp:extent cx="5334000" cy="2262159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image/lab07_3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 3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</w:t>
      </w:r>
    </w:p>
    <w:bookmarkEnd w:id="39"/>
    <w:bookmarkStart w:id="40" w:name="библиография"/>
    <w:p>
      <w:pPr>
        <w:pStyle w:val="Heading1"/>
      </w:pPr>
      <w:r>
        <w:t xml:space="preserve">Библиография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Купцов Максим Ахмедович</dc:creator>
  <dc:language>ru-RU</dc:language>
  <cp:keywords/>
  <dcterms:created xsi:type="dcterms:W3CDTF">2024-03-23T16:22:57Z</dcterms:created>
  <dcterms:modified xsi:type="dcterms:W3CDTF">2024-03-23T16:22:57Z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DejaVu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DejaVu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