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Ахмедович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конкуренции двух фирм.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для случая, когда конкурентная борьба ведётся только рыночными методами.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для случая, когда, помимо экономического фактора влияния, используются еще и социально-психологические факторы.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</w:t>
      </w:r>
      <w:r>
        <w:t xml:space="preserve"> </w:t>
      </w:r>
      <w:r>
        <w:t xml:space="preserve">модель одной фирмы ([1]). Вначале рассмотрим модель фирмы, производящей продукт</w:t>
      </w:r>
      <w:r>
        <w:t xml:space="preserve"> </w:t>
      </w:r>
      <w:r>
        <w:t xml:space="preserve">долговременного пользования, когда цена его определяется балансом спроса и</w:t>
      </w:r>
      <w:r>
        <w:t xml:space="preserve"> </w:t>
      </w:r>
      <w:r>
        <w:t xml:space="preserve">предложения. Примем, что этот продукт занимает определенную нишу рынка и</w:t>
      </w:r>
      <w:r>
        <w:t xml:space="preserve"> </w:t>
      </w:r>
      <w:r>
        <w:t xml:space="preserve">конкуренты в ней отсутствуют. Обозначим: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S – доходы потребителей данного продукта. Считаем, что доходы всех потребителей</w:t>
      </w:r>
      <w:r>
        <w:t xml:space="preserve"> </w:t>
      </w:r>
      <w:r>
        <w:t xml:space="preserve">одинаковы. Это предположение справедливо, если речь идет об одной рыночной</w:t>
      </w:r>
      <w:r>
        <w:t xml:space="preserve"> </w:t>
      </w:r>
      <w:r>
        <w:t xml:space="preserve">нише, т.е. производимый продукт ориентирован на определенный слой населения.</w:t>
      </w:r>
    </w:p>
    <w:p>
      <w:pPr>
        <w:pStyle w:val="BodyText"/>
      </w:pPr>
      <w:r>
        <w:t xml:space="preserve">M – оборотные средства предприятия</w:t>
      </w:r>
    </w:p>
    <w:p>
      <w:pPr>
        <w:pStyle w:val="BodyText"/>
      </w:pPr>
      <w:r>
        <w:t xml:space="preserve">τ 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w:r>
        <w:t xml:space="preserve">p̃ 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δ – доля оборотных средств, идущая на покрытие переменных издержек.</w:t>
      </w:r>
    </w:p>
    <w:p>
      <w:pPr>
        <w:pStyle w:val="BodyText"/>
      </w:pPr>
      <w:r>
        <w:t xml:space="preserve">κ 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И построим дифференциальное уравнение: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r>
          <m:t>M</m:t>
        </m:r>
        <m:f>
          <m:fPr>
            <m:type m:val="bar"/>
          </m:fPr>
          <m:num>
            <m:r>
              <m:t>δ</m:t>
            </m:r>
          </m:num>
          <m:den>
            <m:r>
              <m:t>τ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num>
              <m:den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δ</m:t>
                    </m:r>
                  </m:num>
                  <m:den>
                    <m:r>
                      <m:t>τ</m:t>
                    </m:r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den>
                </m:f>
              </m:e>
            </m:d>
          </m:e>
          <m:sup>
            <m:r>
              <m:t>2</m:t>
            </m:r>
          </m:sup>
        </m:sSup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r>
              <m:t>N</m:t>
            </m:r>
            <m:r>
              <m:t>q</m:t>
            </m:r>
          </m:den>
        </m:f>
        <m:r>
          <m:rPr>
            <m:sty m:val="p"/>
          </m:rPr>
          <m:t>−</m:t>
        </m:r>
        <m:r>
          <m:t>k</m:t>
        </m:r>
      </m:oMath>
    </w:p>
    <w:bookmarkEnd w:id="22"/>
    <w:bookmarkStart w:id="37" w:name="выполнение"/>
    <w:p>
      <w:pPr>
        <w:pStyle w:val="Heading1"/>
      </w:pPr>
      <w:r>
        <w:t xml:space="preserve">Выполнение</w:t>
      </w:r>
    </w:p>
    <w:bookmarkStart w:id="29" w:name="первый-случай"/>
    <w:p>
      <w:pPr>
        <w:pStyle w:val="Heading2"/>
      </w:pPr>
      <w:r>
        <w:t xml:space="preserve">Первый случай</w:t>
      </w:r>
    </w:p>
    <w:p>
      <w:pPr>
        <w:pStyle w:val="Compact"/>
        <w:numPr>
          <w:ilvl w:val="0"/>
          <w:numId w:val="1002"/>
        </w:numPr>
      </w:pPr>
      <w:r>
        <w:t xml:space="preserve">Опишем систему ДУ для первого случая, когда конкурентная борьба ведется только рыночными методами.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pStyle w:val="Compact"/>
        <w:numPr>
          <w:ilvl w:val="0"/>
          <w:numId w:val="1003"/>
        </w:numPr>
      </w:pPr>
      <w:r>
        <w:t xml:space="preserve">Зададим начальные условия, заупустим просчет и сохраним результат в графики (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зультат моделирования 1 случая на Julia" title="" id="24" name="Picture"/>
            <a:graphic>
              <a:graphicData uri="http://schemas.openxmlformats.org/drawingml/2006/picture">
                <pic:pic>
                  <pic:nvPicPr>
                    <pic:cNvPr descr="image/lab0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1 случая на Julia</w:t>
      </w:r>
    </w:p>
    <w:p>
      <w:pPr>
        <w:pStyle w:val="Compact"/>
        <w:numPr>
          <w:ilvl w:val="0"/>
          <w:numId w:val="1004"/>
        </w:numPr>
      </w:pPr>
      <w:r>
        <w:t xml:space="preserve">Смоделируем первый случай на OpenModelica, зададим начальные значения и систему ДУ.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b/c1*M1*M2 - a1/c1*M1*M1;</w:t>
      </w:r>
      <w:r>
        <w:br/>
      </w:r>
      <w:r>
        <w:rPr>
          <w:rStyle w:val="VerbatimChar"/>
        </w:rPr>
        <w:t xml:space="preserve">  der(M2) = c2/c1*M2 - b/c1*M1*M2 - a2/c1*M2*M2;</w:t>
      </w:r>
    </w:p>
    <w:p>
      <w:pPr>
        <w:pStyle w:val="Compact"/>
        <w:numPr>
          <w:ilvl w:val="0"/>
          <w:numId w:val="1005"/>
        </w:numPr>
      </w:pPr>
      <w:r>
        <w:t xml:space="preserve">Запустим симуляцию и получим следующий результат (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2667000" cy="1110360"/>
            <wp:effectExtent b="0" l="0" r="0" t="0"/>
            <wp:docPr descr="Результат моделирования 1 случая на Modelica" title="" id="27" name="Picture"/>
            <a:graphic>
              <a:graphicData uri="http://schemas.openxmlformats.org/drawingml/2006/picture">
                <pic:pic>
                  <pic:nvPicPr>
                    <pic:cNvPr descr="image/lab08_1o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1 случая на Modelica</w:t>
      </w:r>
    </w:p>
    <w:bookmarkEnd w:id="29"/>
    <w:bookmarkStart w:id="36" w:name="второй-случай"/>
    <w:p>
      <w:pPr>
        <w:pStyle w:val="Heading2"/>
      </w:pPr>
      <w:r>
        <w:t xml:space="preserve">Второй случай</w:t>
      </w:r>
    </w:p>
    <w:p>
      <w:pPr>
        <w:pStyle w:val="Compact"/>
        <w:numPr>
          <w:ilvl w:val="0"/>
          <w:numId w:val="1006"/>
        </w:numPr>
      </w:pPr>
      <w:r>
        <w:t xml:space="preserve">Опишем систему ДУ для второго случая, когда конкурентная борьба ведется не только рыночными методами.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0.00062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pStyle w:val="Compact"/>
        <w:numPr>
          <w:ilvl w:val="0"/>
          <w:numId w:val="1007"/>
        </w:numPr>
      </w:pPr>
      <w:r>
        <w:t xml:space="preserve">Зададим начальные условия, заупустим просчет и сохраним результат в графики (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зультат моделирования 2 случая на Julia" title="" id="31" name="Picture"/>
            <a:graphic>
              <a:graphicData uri="http://schemas.openxmlformats.org/drawingml/2006/picture">
                <pic:pic>
                  <pic:nvPicPr>
                    <pic:cNvPr descr="image/lab08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2 случая на Julia</w:t>
      </w:r>
    </w:p>
    <w:p>
      <w:pPr>
        <w:pStyle w:val="Compact"/>
        <w:numPr>
          <w:ilvl w:val="0"/>
          <w:numId w:val="1008"/>
        </w:numPr>
      </w:pPr>
      <w:r>
        <w:t xml:space="preserve">Смоделируем второй случай на OpenModelica, зададим начальные значения и систему ДУ.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 / c1 + 0.00062) * M1 * M2 - a1 / c1 * M1 * M1;</w:t>
      </w:r>
      <w:r>
        <w:br/>
      </w:r>
      <w:r>
        <w:rPr>
          <w:rStyle w:val="VerbatimChar"/>
        </w:rPr>
        <w:t xml:space="preserve">  der(M2) = c2 / c1 * M2 - b / c1 * M1 * M2 - a2 / c1 * M2 * M2;</w:t>
      </w:r>
    </w:p>
    <w:p>
      <w:pPr>
        <w:pStyle w:val="Compact"/>
        <w:numPr>
          <w:ilvl w:val="0"/>
          <w:numId w:val="1009"/>
        </w:numPr>
      </w:pPr>
      <w:r>
        <w:t xml:space="preserve">Запустим симуляцию и получим следующий результат (</w:t>
      </w:r>
      <w:r>
        <w:t xml:space="preserve">@fig:004</w:t>
      </w:r>
      <w:r>
        <w:t xml:space="preserve">)</w:t>
      </w:r>
    </w:p>
    <w:p>
      <w:pPr>
        <w:pStyle w:val="CaptionedFigure"/>
      </w:pPr>
      <w:r>
        <w:drawing>
          <wp:inline>
            <wp:extent cx="2667000" cy="1110360"/>
            <wp:effectExtent b="0" l="0" r="0" t="0"/>
            <wp:docPr descr="Результат моделирования 2 случая на Modelica" title="" id="34" name="Picture"/>
            <a:graphic>
              <a:graphicData uri="http://schemas.openxmlformats.org/drawingml/2006/picture">
                <pic:pic>
                  <pic:nvPicPr>
                    <pic:cNvPr descr="image/lab08_2o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2 случая на Modelica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</w:t>
      </w:r>
      <w:r>
        <w:t xml:space="preserve"> </w:t>
      </w:r>
      <w:r>
        <w:t xml:space="preserve">изменения оборотных средств для двух фирм для случаев, когда конкурентная</w:t>
      </w:r>
      <w:r>
        <w:t xml:space="preserve"> </w:t>
      </w:r>
      <w:r>
        <w:t xml:space="preserve">борьба ведётся только рыночными методами и когда, помимо экономического фактора</w:t>
      </w:r>
      <w:r>
        <w:t xml:space="preserve"> </w:t>
      </w:r>
      <w:r>
        <w:t xml:space="preserve">влияния, используются еще и социально-психологические факторы.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Лабораторная работа:</w:t>
      </w:r>
      <w:r>
        <w:t xml:space="preserve"> </w:t>
      </w:r>
      <w:r>
        <w:t xml:space="preserve">https://esystem.rudn.ru/pluginfile.php/1971672/mod_resource/content/2/%D0%9B%D0%B0%D0%B1%D0%BE%D1%80%D0%B0%D1%82%D0%BE%D1%80%D0%BD%D0%B0%D1%8F%20%D1%80%D0%B0%D0%B1%D0%BE%D1%82%D0%B0%20%E2%84%96%207.pdf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Купцов Максим Ахмедович</dc:creator>
  <dc:language>ru-RU</dc:language>
  <cp:keywords/>
  <dcterms:created xsi:type="dcterms:W3CDTF">2024-03-30T06:33:37Z</dcterms:created>
  <dcterms:modified xsi:type="dcterms:W3CDTF">2024-03-30T06:33:37Z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DejaVu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DejaVu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