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黑体"/>
          <w:b/>
          <w:sz w:val="30"/>
        </w:rPr>
        <w:t>实验结果台账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本文档只记录**现役方法**（类型化记录知识库 × ReAct 循环答题，栈版本 F6-F15）在各考场对基线的成绩，随实验进展持续更新（更新日志见文末）。历史迭代轮次的过程数字不入台账，存档于各轮报告与预注册迭代日志（PILOT-REPORT 系列 / PILOT-PREREG §12）。数字一律取自盘上判读档案，不录口头数；口径注记见第三节。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一、主场 gold 基准（50 题，DRL 40 篇语料，Kimi 判分 + J1 编造重判）</w:t>
      </w:r>
    </w:p>
    <w:p>
      <w:pPr>
        <w:spacing w:after="60"/>
        <w:jc w:val="center"/>
      </w:pPr>
      <w:r>
        <w:rPr>
          <w:rFonts w:ascii="Times New Roman" w:hAnsi="Times New Roman" w:eastAsia="宋体"/>
          <w:b/>
          <w:sz w:val="18"/>
        </w:rPr>
        <w:t>表 A1：主场结果（B3 冻结版=现役方法的主场形态）。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80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</w:t>
            </w:r>
          </w:p>
        </w:tc>
        <w:tc>
          <w:tcPr>
            <w:tcW w:type="dxa" w:w="227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  <w:tc>
          <w:tcPr>
            <w:tcW w:type="dxa" w:w="4656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80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现役方法（类型化记录 × ReAct）</w:t>
            </w:r>
          </w:p>
        </w:tc>
        <w:tc>
          <w:tcPr>
            <w:tcW w:type="dxa" w:w="227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3.42（n=50）</w:t>
            </w:r>
          </w:p>
        </w:tc>
        <w:tc>
          <w:tcPr>
            <w:tcW w:type="dxa" w:w="465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adjusted 主口径</w:t>
            </w:r>
          </w:p>
        </w:tc>
      </w:tr>
      <w:tr>
        <w:tc>
          <w:tcPr>
            <w:tcW w:type="dxa" w:w="180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LightRAG（官方系统，同 Qwen3.8-Max 后端）</w:t>
            </w:r>
          </w:p>
        </w:tc>
        <w:tc>
          <w:tcPr>
            <w:tcW w:type="dxa" w:w="227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3.080（n=50）</w:t>
            </w:r>
          </w:p>
        </w:tc>
        <w:tc>
          <w:tcPr>
            <w:tcW w:type="dxa" w:w="465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存档答案按现行协议重判（2026-09-10，J1 触发 33/50）；作答=官方 ainsert 建索引 + aquery(hybrid) + 官方答题提示词</w:t>
            </w:r>
          </w:p>
        </w:tc>
      </w:tr>
      <w:tr>
        <w:tc>
          <w:tcPr>
            <w:tcW w:type="dxa" w:w="180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同循环原文块对照臂</w:t>
            </w:r>
          </w:p>
        </w:tc>
        <w:tc>
          <w:tcPr>
            <w:tcW w:type="dxa" w:w="227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3.038（n=26）</w:t>
            </w:r>
          </w:p>
        </w:tc>
        <w:tc>
          <w:tcPr>
            <w:tcW w:type="dxa" w:w="465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同循环同预算，唯一差别=检索对象</w:t>
            </w:r>
          </w:p>
        </w:tc>
      </w:tr>
      <w:tr>
        <w:tc>
          <w:tcPr>
            <w:tcW w:type="dxa" w:w="180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配对差（主臂 − LightRAG）</w:t>
            </w:r>
          </w:p>
        </w:tc>
        <w:tc>
          <w:tcPr>
            <w:tcW w:type="dxa" w:w="227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+0.340，95% CI [+0.07, +0.61]，18胜/24平/8负</w:t>
            </w:r>
          </w:p>
        </w:tc>
        <w:tc>
          <w:tcPr>
            <w:tcW w:type="dxa" w:w="465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分题型：配置+1.00 / 覆盖+0.70 / 时序+0.40 / 条件+0.30 / 聚合−0.13（唯一负项，已知弱轴）</w:t>
            </w:r>
          </w:p>
        </w:tc>
      </w:tr>
      <w:tr>
        <w:tc>
          <w:tcPr>
            <w:tcW w:type="dxa" w:w="180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配对差（主臂 − 对照臂）</w:t>
            </w:r>
          </w:p>
        </w:tc>
        <w:tc>
          <w:tcPr>
            <w:tcW w:type="dxa" w:w="227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+0.462（11胜/12平/3负）</w:t>
            </w:r>
          </w:p>
        </w:tc>
        <w:tc>
          <w:tcPr>
            <w:tcW w:type="dxa" w:w="465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表示层收益的干净同循环证据</w:t>
            </w:r>
          </w:p>
        </w:tc>
      </w:tr>
      <w:tr>
        <w:tc>
          <w:tcPr>
            <w:tcW w:type="dxa" w:w="1804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答题成本</w:t>
            </w:r>
          </w:p>
        </w:tc>
        <w:tc>
          <w:tcPr>
            <w:tcW w:type="dxa" w:w="2270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24.1k tokens/题</w:t>
            </w:r>
          </w:p>
        </w:tc>
        <w:tc>
          <w:tcPr>
            <w:tcW w:type="dxa" w:w="4656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对照臂 10.8k；全语料直读 ~180k（仅作成本倍率参照 1/7.5，不比分数）；LightRAG 建索引 ~11.6M（字符率口径，全语料一次性）</w:t>
            </w:r>
          </w:p>
        </w:tc>
      </w:tr>
    </w:tbl>
    <w:p>
      <w:pPr>
        <w:spacing w:after="6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注（LightRAG 行）：答案为 Stage A 时代冻结产物（同 50 题、同 40 篇语料、作答模型与主臂同为 Qwen3.8-Max 关思考），本次仅重判不重答；嵌入服务为我方替换件（1024 维），检索与答题逻辑均为官方；旧协议读数 3.02（无 J1）→ 现行协议 3.080，跨协议差 +0.06 如实注记。重判档案 judged_lightrag_b3protocol.json。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二、PaperScope 外部考场（16 篇子语料，官方判分提示词逐字 + Kimi-K2.6 异厂 + 盲评 + J1 附录）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3"/>
        </w:rPr>
        <w:t>2.1 dev 30 题（现役栈 F6-F14）</w:t>
      </w:r>
    </w:p>
    <w:p>
      <w:pPr>
        <w:spacing w:after="60"/>
        <w:jc w:val="center"/>
      </w:pPr>
      <w:r>
        <w:rPr>
          <w:rFonts w:ascii="Times New Roman" w:hAnsi="Times New Roman" w:eastAsia="宋体"/>
          <w:b/>
          <w:sz w:val="18"/>
        </w:rPr>
        <w:t>表 P1：dev30 对官方复刻臂总读数。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16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</w:t>
            </w:r>
          </w:p>
        </w:tc>
        <w:tc>
          <w:tcPr>
            <w:tcW w:type="dxa" w:w="5675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现役方法</w:t>
            </w:r>
          </w:p>
        </w:tc>
        <w:tc>
          <w:tcPr>
            <w:tcW w:type="dxa" w:w="1892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官方复刻臂（A9）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均分</w:t>
            </w:r>
          </w:p>
        </w:tc>
        <w:tc>
          <w:tcPr>
            <w:tcW w:type="dxa" w:w="567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3.080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3.153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逐题配对差</w:t>
            </w:r>
          </w:p>
        </w:tc>
        <w:tc>
          <w:tcPr>
            <w:tcW w:type="dxa" w:w="567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−0.073，95% CI [−0.26, +0.11]，11胜/3平/16负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J1 编造旗标</w:t>
            </w:r>
          </w:p>
        </w:tc>
        <w:tc>
          <w:tcPr>
            <w:tcW w:type="dxa" w:w="567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答题成本</w:t>
            </w:r>
          </w:p>
        </w:tc>
        <w:tc>
          <w:tcPr>
            <w:tcW w:type="dxa" w:w="567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~140k tokens/题（步帽20）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~99k tokens/题</w:t>
            </w:r>
          </w:p>
        </w:tc>
      </w:tr>
      <w:tr>
        <w:tc>
          <w:tcPr>
            <w:tcW w:type="dxa" w:w="1164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答案长度（中位）</w:t>
            </w:r>
          </w:p>
        </w:tc>
        <w:tc>
          <w:tcPr>
            <w:tcW w:type="dxa" w:w="5675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~9.5k 字符</w:t>
            </w:r>
          </w:p>
        </w:tc>
        <w:tc>
          <w:tcPr>
            <w:tcW w:type="dxa" w:w="1892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12.4k 字符</w:t>
            </w:r>
          </w:p>
        </w:tc>
      </w:tr>
    </w:tbl>
    <w:p>
      <w:pPr>
        <w:spacing w:after="6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after="60"/>
        <w:jc w:val="center"/>
      </w:pPr>
      <w:r>
        <w:rPr>
          <w:rFonts w:ascii="Times New Roman" w:hAnsi="Times New Roman" w:eastAsia="宋体"/>
          <w:b/>
          <w:sz w:val="18"/>
        </w:rPr>
        <w:t>表 P2：dev30 分题型配对差（现役方法 − 官方臂）。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091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题型</w:t>
            </w:r>
          </w:p>
        </w:tc>
        <w:tc>
          <w:tcPr>
            <w:tcW w:type="dxa" w:w="909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配对差</w:t>
            </w:r>
          </w:p>
        </w:tc>
        <w:tc>
          <w:tcPr>
            <w:tcW w:type="dxa" w:w="909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胜/平/负</w:t>
            </w:r>
          </w:p>
        </w:tc>
        <w:tc>
          <w:tcPr>
            <w:tcW w:type="dxa" w:w="5820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维度构成（内容维 / 风格维）</w:t>
            </w:r>
          </w:p>
        </w:tc>
      </w:tr>
      <w:tr>
        <w:tc>
          <w:tcPr>
            <w:tcW w:type="dxa" w:w="109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趋势（演化）</w:t>
            </w:r>
          </w:p>
        </w:tc>
        <w:tc>
          <w:tcPr>
            <w:tcW w:type="dxa" w:w="90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+0.34</w:t>
            </w:r>
          </w:p>
        </w:tc>
        <w:tc>
          <w:tcPr>
            <w:tcW w:type="dxa" w:w="90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8/1/1</w:t>
            </w:r>
          </w:p>
        </w:tc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相关+0.80 准确+0.50 / 流畅−0.10</w:t>
            </w:r>
          </w:p>
        </w:tc>
      </w:tr>
      <w:tr>
        <w:tc>
          <w:tcPr>
            <w:tcW w:type="dxa" w:w="109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缺口（局限）</w:t>
            </w:r>
          </w:p>
        </w:tc>
        <w:tc>
          <w:tcPr>
            <w:tcW w:type="dxa" w:w="90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−0.20</w:t>
            </w:r>
          </w:p>
        </w:tc>
        <w:tc>
          <w:tcPr>
            <w:tcW w:type="dxa" w:w="90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1/1/8</w:t>
            </w:r>
          </w:p>
        </w:tc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相关0.00 准确+0.20 / 流畅−0.80 洞察−0.50</w:t>
            </w:r>
          </w:p>
        </w:tc>
      </w:tr>
      <w:tr>
        <w:tc>
          <w:tcPr>
            <w:tcW w:type="dxa" w:w="1091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结果对比</w:t>
            </w:r>
          </w:p>
        </w:tc>
        <w:tc>
          <w:tcPr>
            <w:tcW w:type="dxa" w:w="909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−0.36</w:t>
            </w:r>
          </w:p>
        </w:tc>
        <w:tc>
          <w:tcPr>
            <w:tcW w:type="dxa" w:w="909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2/1/7</w:t>
            </w:r>
          </w:p>
        </w:tc>
        <w:tc>
          <w:tcPr>
            <w:tcW w:type="dxa" w:w="5820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相关−0.10 准确−0.20 / 流畅−0.90</w:t>
            </w:r>
          </w:p>
        </w:tc>
      </w:tr>
    </w:tbl>
    <w:p>
      <w:pPr>
        <w:spacing w:after="6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after="60"/>
      </w:pPr>
      <w:r>
        <w:rPr>
          <w:rFonts w:ascii="Times New Roman" w:hAnsi="Times New Roman" w:eastAsia="宋体"/>
          <w:b w:val="0"/>
          <w:sz w:val="21"/>
        </w:rPr>
        <w:t>注：缺口题残差全部在风格维（内容维已打平略胜），败因=场景化题面下我方主题综合散文 vs gold 逐方法枚举形态；结果对比题败因=档案通道复活后的跨论文范围漂移+数值与 gold 表不对齐（诊断档案 DIAGNOSIS-GAP-R2 / PILOT-REPORT-R3）。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3"/>
        </w:rPr>
        <w:t>2.2 fresh-16 新题终判（现役栈 F6-F15，判读规则 IL-P12 跑前冻结）</w:t>
      </w:r>
    </w:p>
    <w:p>
      <w:pPr>
        <w:spacing w:after="60"/>
        <w:jc w:val="center"/>
      </w:pPr>
      <w:r>
        <w:rPr>
          <w:rFonts w:ascii="Times New Roman" w:hAnsi="Times New Roman" w:eastAsia="宋体"/>
          <w:b/>
          <w:sz w:val="18"/>
        </w:rPr>
        <w:t>表 P3：新题终判（16 道从未参与任何迭代的合格官方题；trend 7 / gap 2 / resu 7）。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523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</w:t>
            </w:r>
          </w:p>
        </w:tc>
        <w:tc>
          <w:tcPr>
            <w:tcW w:type="dxa" w:w="7208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</w:tr>
      <w:tr>
        <w:tc>
          <w:tcPr>
            <w:tcW w:type="dxa" w:w="1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720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已完成（两臂 16/16 作答+判分，2026-09-10）</w:t>
            </w:r>
          </w:p>
        </w:tc>
      </w:tr>
      <w:tr>
        <w:tc>
          <w:tcPr>
            <w:tcW w:type="dxa" w:w="1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冻结判据</w:t>
            </w:r>
          </w:p>
        </w:tc>
        <w:tc>
          <w:tcPr>
            <w:tcW w:type="dxa" w:w="720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泛化成立=trend 子集&gt;0 且总≥−0.1；泛化失败=总&lt;−0.3 或 trend≤0；其余=灰区报用户</w:t>
            </w:r>
          </w:p>
        </w:tc>
      </w:tr>
      <w:tr>
        <w:tc>
          <w:tcPr>
            <w:tcW w:type="dxa" w:w="1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总配对</w:t>
            </w:r>
          </w:p>
        </w:tc>
        <w:tc>
          <w:tcPr>
            <w:tcW w:type="dxa" w:w="720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−0.062，95% CI [−0.27, +0.15]，8胜/2平/6负（n=16）</w:t>
            </w:r>
          </w:p>
        </w:tc>
      </w:tr>
      <w:tr>
        <w:tc>
          <w:tcPr>
            <w:tcW w:type="dxa" w:w="1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trend 子集（n=7）</w:t>
            </w:r>
          </w:p>
        </w:tc>
        <w:tc>
          <w:tcPr>
            <w:tcW w:type="dxa" w:w="720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−0.057（4胜/1平/2负，两道 −0.8 大负拖拽均值）</w:t>
            </w:r>
          </w:p>
        </w:tc>
      </w:tr>
      <w:tr>
        <w:tc>
          <w:tcPr>
            <w:tcW w:type="dxa" w:w="1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resu 子集（n=7）</w:t>
            </w:r>
          </w:p>
        </w:tc>
        <w:tc>
          <w:tcPr>
            <w:tcW w:type="dxa" w:w="720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0.000（4胜/1平/2负）——dev30 的 −0.36 未复现</w:t>
            </w:r>
          </w:p>
        </w:tc>
      </w:tr>
      <w:tr>
        <w:tc>
          <w:tcPr>
            <w:tcW w:type="dxa" w:w="1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gap 子集（n=2）</w:t>
            </w:r>
          </w:p>
        </w:tc>
        <w:tc>
          <w:tcPr>
            <w:tcW w:type="dxa" w:w="720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−0.30（0胜/2负，样本过小仅参考）</w:t>
            </w:r>
          </w:p>
        </w:tc>
      </w:tr>
      <w:tr>
        <w:tc>
          <w:tcPr>
            <w:tcW w:type="dxa" w:w="1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**IL-P12 自动判读**</w:t>
            </w:r>
          </w:p>
        </w:tc>
        <w:tc>
          <w:tcPr>
            <w:tcW w:type="dxa" w:w="720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**泛化失败（trend 子集≤0 触发失败条款）→ PaperScope 线降级，转选项C（LitTraceQA 重心）**</w:t>
            </w:r>
          </w:p>
        </w:tc>
      </w:tr>
      <w:tr>
        <w:tc>
          <w:tcPr>
            <w:tcW w:type="dxa" w:w="1523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副判读（dev 过拟合检验）</w:t>
            </w:r>
          </w:p>
        </w:tc>
        <w:tc>
          <w:tcPr>
            <w:tcW w:type="dxa" w:w="7208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a1f16 绝对均分 3.087 vs dev30 3.080，偏差 0.007 ≪ 0.4 —— **无 dev 虚高，绝对水平完美复现**</w:t>
            </w:r>
          </w:p>
        </w:tc>
      </w:tr>
    </w:tbl>
    <w:p>
      <w:pPr>
        <w:spacing w:after="6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注（fresh-16）：跨 dev/fresh 两套独立题集复现的稳定画像=内容维打平或略胜（相关 +0.29~+0.43 / 准确 0.00~+0.43），风格维系统性亏损（流畅 −0.5~−0.71 / 洞察 −0.43~−1.0）；J1 编造旗标 3 vs 4。分题型优势不稳定（trend dev +0.34 → fresh −0.06；resu dev −0.36 → fresh 0.00）。fresh 周期成本 4.12M（我方 2.1 + 官方臂 1.7 + 判分 0.3）；pilot 全周期账本累计 25.19M。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3"/>
        </w:rPr>
        <w:t>2.3 外部基线状态注记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PaperQA2（A6）：按预注册断路器条款退赛（实测 ~100-107k tokens/题=预注册带 2×，3 次触发），不入成绩表；全量成本带 ~12M/120 题存于预算材料。后续全量阵容候选：HippoRAG2 / OpenScholar（用户已定 PaperQA2 出局）。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三、台账口径（永久注记）</w:t>
      </w:r>
    </w:p>
    <w:p>
      <w:pPr>
        <w:spacing w:after="60"/>
      </w:pPr>
      <w:r>
        <w:rPr>
          <w:rFonts w:ascii="Times New Roman" w:hAnsi="Times New Roman" w:eastAsia="宋体"/>
          <w:b w:val="0"/>
          <w:sz w:val="21"/>
        </w:rPr>
        <w:t>一、直读类臂的成绩不入表（用户裁定 2026-09-10）：全文直读仅在有限语料范围测试，与检索型臂不构成同口径对比；数字存档于 B3-VERDICT-COMPUTED.md，台账仅保留其成本作倍率参照。</w:t>
      </w:r>
    </w:p>
    <w:p>
      <w:pPr>
        <w:spacing w:after="60"/>
      </w:pPr>
      <w:r>
        <w:rPr>
          <w:rFonts w:ascii="Times New Roman" w:hAnsi="Times New Roman" w:eastAsia="宋体"/>
          <w:b w:val="0"/>
          <w:sz w:val="21"/>
        </w:rPr>
        <w:t>二、PaperScope 官方论文报告分数永不进对比表（引用纪律：官方数字出自 2000 篇/200 题/多模态占半的不同考卷；合法用途=难度参照与消融引用）。</w:t>
      </w:r>
    </w:p>
    <w:p>
      <w:pPr>
        <w:spacing w:after="60"/>
      </w:pPr>
      <w:r>
        <w:rPr>
          <w:rFonts w:ascii="Times New Roman" w:hAnsi="Times New Roman" w:eastAsia="宋体"/>
          <w:b w:val="0"/>
          <w:sz w:val="21"/>
        </w:rPr>
        <w:t>三、历史迭代轮次（含作废轮）的过程数字不入台账：存档于 PILOT-REPORT.md（round-1）、PILOT-REPORT-R2.md、PILOT-REPORT-R3.md 与 PILOT-PREREG §12 迭代日志（IL-P1~P12），供论文披露与审计使用。</w:t>
      </w:r>
    </w:p>
    <w:p>
      <w:pPr>
        <w:spacing w:after="60"/>
      </w:pPr>
      <w:r>
        <w:rPr>
          <w:rFonts w:ascii="Times New Roman" w:hAnsi="Times New Roman" w:eastAsia="宋体"/>
          <w:b w:val="0"/>
          <w:sz w:val="21"/>
        </w:rPr>
        <w:t>四、判分口径：主场=Kimi rubric v2+J1 编造重判；PaperScope=官方 GPT_SCORE_PROMPT 逐字+附录一（gold 未覆盖不罚）+附录二（J1 中性池=16 篇全文）+盲评乱序（seed 20260909）；作答/抽取 Qwen 与判分 Kimi 异厂分离。</w:t>
      </w:r>
    </w:p>
    <w:p>
      <w:pPr>
        <w:spacing w:after="60"/>
      </w:pPr>
      <w:r>
        <w:rPr>
          <w:rFonts w:ascii="Times New Roman" w:hAnsi="Times New Roman" w:eastAsia="宋体"/>
          <w:b w:val="0"/>
          <w:sz w:val="21"/>
        </w:rPr>
        <w:t>五、配对差一律逐题配对（禁只报均值差），CI 为 95% 正态近似。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更新日志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794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type="dxa" w:w="7479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更新内容</w:t>
            </w:r>
          </w:p>
        </w:tc>
        <w:tc>
          <w:tcPr>
            <w:tcW w:type="dxa" w:w="882"/>
            <w:tcBorders>
              <w:left w:val="nil"/>
              <w:right w:val="nil"/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触发</w:t>
            </w:r>
          </w:p>
        </w:tc>
      </w:tr>
      <w:tr>
        <w:tc>
          <w:tcPr>
            <w:tcW w:type="dxa" w:w="79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2026-09-11(晚)</w:t>
            </w:r>
          </w:p>
        </w:tc>
        <w:tc>
          <w:tcPr>
            <w:tcW w:type="dxa" w:w="747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PS 内部线终审收口：F21b（混合投影+卡片紧凑化+广度教练）30 题配对 −0.160 FAIL，但对 F20 机制指标全面改善（密度直证回升/gate 60% 历轮最高/崩坏 0/零编造）→ 冻结分支三="系统修复兑现、PS 判分协议不奖励"；四轮全景 F18 +0.150(12q)/F19 −0.056/F20 −0.113/F21b −0.160=稳定平局带，PS 线彻底停止（预注册判决，不再迭代）；F22 机械广度装置建成+离线单测过，随战役栈进三战场验证；内部闸数字不入表（口径纪律）</w:t>
            </w:r>
          </w:p>
        </w:tc>
        <w:tc>
          <w:tcPr>
            <w:tcW w:type="dxa" w:w="88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79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2026-09-11(午)</w:t>
            </w:r>
          </w:p>
        </w:tc>
        <w:tc>
          <w:tcPr>
            <w:tcW w:type="dxa" w:w="747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闸2 收口：F18 栈（实体解析层+答题教练）修复 27B 答题端选择失灵，12 题配对 vs LightRAG 同底座 **+0.150（6W2T4L，崩坏 0/12，CI 跨零如实标注）**，修复因果值 +0.267（同题同库唯一变量）；DSF-0731 答题臂冒烟即停（驾驭力 FAIL，答题端永久出局）；**答题底座定档 27B+F18**，进三战场战役准备；内部闸数字不入表（口径纪律）</w:t>
            </w:r>
          </w:p>
        </w:tc>
        <w:tc>
          <w:tcPr>
            <w:tcW w:type="dxa" w:w="88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79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2026-09-11</w:t>
            </w:r>
          </w:p>
        </w:tc>
        <w:tc>
          <w:tcPr>
            <w:tcW w:type="dxa" w:w="747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战役底座定档 Qwen3.6-27B（闸1 判决 GATE1-VERDICT.md：金丝雀 5/5+0/写门过/Kimi 4.8；C′ DSF-0731 淘汰）；抽取系统修复包 FG1-FG5+教练 1b/1c/1d 落地；PS16 库重建（2530 条入库，人工实读 4.5/5 零编造+Kimi 4.67 验收过）；闸2 瘦身版（12题×27B）：驾驭力 PASS/方向判据 FAIL（−0.117，单题主导，四层审计=答题选择层主责+判分偏置放大，IL-G2-1）→ 底座档位处置待用户决策；内部闸数字不入表（口径纪律）</w:t>
            </w:r>
          </w:p>
        </w:tc>
        <w:tc>
          <w:tcPr>
            <w:tcW w:type="dxa" w:w="88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79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2026-09-10</w:t>
            </w:r>
          </w:p>
        </w:tc>
        <w:tc>
          <w:tcPr>
            <w:tcW w:type="dxa" w:w="747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建账</w:t>
            </w:r>
          </w:p>
        </w:tc>
        <w:tc>
          <w:tcPr>
            <w:tcW w:type="dxa" w:w="88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用户指令</w:t>
            </w:r>
          </w:p>
        </w:tc>
      </w:tr>
      <w:tr>
        <w:tc>
          <w:tcPr>
            <w:tcW w:type="dxa" w:w="79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2026-09-10</w:t>
            </w:r>
          </w:p>
        </w:tc>
        <w:tc>
          <w:tcPr>
            <w:tcW w:type="dxa" w:w="747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精简：只保留现役方法（F6-F15 栈及其主场 B3 形态），删除 Stage A 视图时代、迭代轮次纵向表；口径第三条改写</w:t>
            </w:r>
          </w:p>
        </w:tc>
        <w:tc>
          <w:tcPr>
            <w:tcW w:type="dxa" w:w="88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用户裁定"迭代过程结果无意义"</w:t>
            </w:r>
          </w:p>
        </w:tc>
      </w:tr>
      <w:tr>
        <w:tc>
          <w:tcPr>
            <w:tcW w:type="dxa" w:w="79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2026-09-10</w:t>
            </w:r>
          </w:p>
        </w:tc>
        <w:tc>
          <w:tcPr>
            <w:tcW w:type="dxa" w:w="747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表A1 增 LightRAG 现行协议重判行（3.080）+ 主臂配对行（+0.340，CI 不含零）+ 成本参照；重判不重答，冻结产物注记</w:t>
            </w:r>
          </w:p>
        </w:tc>
        <w:tc>
          <w:tcPr>
            <w:tcW w:type="dxa" w:w="88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用户提议"评判方法改了就再跑一次"，核实后改为更干净的重判方案</w:t>
            </w:r>
          </w:p>
        </w:tc>
      </w:tr>
      <w:tr>
        <w:tc>
          <w:tcPr>
            <w:tcW w:type="dxa" w:w="794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2026-09-10</w:t>
            </w:r>
          </w:p>
        </w:tc>
        <w:tc>
          <w:tcPr>
            <w:tcW w:type="dxa" w:w="7479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表P3 fresh-16 终判填账：总配对 −0.062（8胜2平6负）、trend 子集 −0.057 → **IL-P12 自动判读=泛化失败，PaperScope 线降级转选项C（LitTraceQA 重心）**；副判读无 dev 虚高（3.087 vs 3.080）；跨题集稳定画像=内容维不输/风格维亏</w:t>
            </w:r>
          </w:p>
        </w:tc>
        <w:tc>
          <w:tcPr>
            <w:tcW w:type="dxa" w:w="882"/>
            <w:tcBorders>
              <w:top w:val="nil"/>
              <w:left w:val="nil"/>
              <w:right w:val="nil"/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fresh-16 两臂判分完成，冻结规则自动套用</w:t>
            </w:r>
          </w:p>
        </w:tc>
      </w:tr>
    </w:tbl>
    <w:p>
      <w:pPr>
        <w:spacing w:after="60"/>
      </w:pPr>
      <w:r>
        <w:rPr>
          <w:rFonts w:ascii="Times New Roman" w:hAnsi="Times New Roman" w:eastAsia="宋体"/>
          <w:b w:val="0"/>
          <w:sz w:val="12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