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登录模块</w:t>
      </w:r>
    </w:p>
    <w:p>
      <w:pPr>
        <w:pStyle w:val="Heading3"/>
      </w:pPr>
      <w:r>
        <w:t>登录成功</w:t>
      </w:r>
    </w:p>
    <w:p>
      <w:r>
        <w:t>前置条件：用户已注册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步骤描述</w:t>
            </w:r>
          </w:p>
        </w:tc>
        <w:tc>
          <w:tcPr>
            <w:tcW w:type="dxa" w:w="4320"/>
          </w:tcPr>
          <w:p>
            <w:r>
              <w:t>预期结果</w:t>
            </w:r>
          </w:p>
        </w:tc>
      </w:tr>
      <w:tr>
        <w:tc>
          <w:tcPr>
            <w:tcW w:type="dxa" w:w="4320"/>
          </w:tcPr>
          <w:p>
            <w:r>
              <w:t>输入正确密码</w:t>
            </w:r>
          </w:p>
        </w:tc>
        <w:tc>
          <w:tcPr>
            <w:tcW w:type="dxa" w:w="4320"/>
          </w:tcPr>
          <w:p>
            <w:r>
              <w:t>跳转首页</w:t>
            </w:r>
          </w:p>
        </w:tc>
      </w:tr>
      <w:tr>
        <w:tc>
          <w:tcPr>
            <w:tcW w:type="dxa" w:w="4320"/>
          </w:tcPr>
          <w:p>
            <w:r>
              <w:t>点击登录按钮</w:t>
            </w:r>
          </w:p>
        </w:tc>
        <w:tc>
          <w:tcPr>
            <w:tcW w:type="dxa" w:w="4320"/>
          </w:tcPr>
          <w:p>
            <w:r>
              <w:t>登录成功</w:t>
            </w:r>
          </w:p>
        </w:tc>
      </w:tr>
    </w:tbl>
    <w:p>
      <w:pPr>
        <w:pStyle w:val="Heading3"/>
      </w:pPr>
      <w:r>
        <w:t>tc-P2:登录失败</w:t>
      </w:r>
    </w:p>
    <w:p>
      <w:r>
        <w:t>输入错误密码</w:t>
      </w:r>
    </w:p>
    <w:p>
      <w:r>
        <w:t>备注：连续 5 次锁定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