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版权与使用说明</w:t>
      </w:r>
    </w:p>
    <w:p>
      <w:r>
        <w:t xml:space="preserve">Copyright © 2026 本作品各权利人。All rights reserved.</w:t>
      </w:r>
    </w:p>
    <w:p>
      <w:r>
        <w:t xml:space="preserve">本仓库收录《科贝拉流浪者》已写前五卷及阅读说明。就本作品中依法享有著作权的原创表达，相关权利人保留未明确授予的权利。本声明不是软件开源许可证，也不是 Creative Commons 公共许可。</w:t>
      </w:r>
    </w:p>
    <w:p>
      <w:r>
        <w:t xml:space="preserve">获得仓库访问权限、阅读或下载文本，不构成著作权转让，也不额外授予向公众转载、出版、改编、翻译传播、有声改编、商业使用、数据集再分发或模型训练的许可。需要相关授权时，请联系仓库维护者，由有权授权者另行明确授权。</w:t>
      </w:r>
    </w:p>
    <w:p>
      <w:r>
        <w:t xml:space="preserve">本声明不限制适用法律允许且无需授权的使用，也不撤销权利人已经作出的有效授权。</w:t>
      </w:r>
    </w:p>
    <w:p>
      <w:r>
        <w:t xml:space="preserve">作品采用《卓越之剑》（Granado Espada）的部分世界设定、既有角色与名称。相关第三方著作权、商标及其他权利归各自权利人，本声明不对这些权利作出授权或归属主张。</w:t>
      </w:r>
    </w:p>
    <w:p>
      <w:pPr>
        <w:pStyle w:val="Heading1"/>
      </w:pPr>
      <w:r>
        <w:t xml:space="preserve">关于托管服务</w:t>
      </w:r>
    </w:p>
    <w:p>
      <w:r>
        <w:t xml:space="preserve">上传本仓库不表示将著作权转让给托管平台。但使用托管服务时另行接受的服务条款可能授予平台特定使用权，本文件不能单方面修改或撤销那些条款。公开仓库还可能涉及平台内复制、分叉及其他使用规则。</w:t>
      </w:r>
    </w:p>
    <w:p>
      <w:r>
        <w:t xml:space="preserve">本声明本身不向平台新增独占授权、版权转让或超出既有有效约定的使用许可。如需改变对外授权方式，应由有权授权者另行明确决定。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版权与使用说明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版权与使用说明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2026-10-11T11:25:57.728Z</dcterms:created>
  <dcterms:modified xsi:type="dcterms:W3CDTF">2026-10-11T11:25:57.728Z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