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t xml:space="preserve"/>
      </w:r>
    </w:p>
    <w:p>
      <w:pPr>
        <w:spacing w:before="200" w:after="200"/>
      </w:pPr>
      <w:r>
        <w:t xml:space="preserve"/>
      </w:r>
    </w:p>
    <w:p>
      <w:pPr>
        <w:spacing w:before="0" w:after="80"/>
        <w:jc w:val="center"/>
      </w:pPr>
      <w:r>
        <w:rPr>
          <w:rFonts w:ascii="Arial" w:cs="Arial" w:eastAsia="Arial" w:hAnsi="Arial"/>
          <w:b/>
          <w:bCs/>
          <w:color w:val="1F3864"/>
          <w:sz w:val="52"/>
          <w:szCs w:val="52"/>
        </w:rPr>
        <w:t xml:space="preserve">Práctica Evaluable</w:t>
      </w:r>
    </w:p>
    <w:p>
      <w:pPr>
        <w:spacing w:before="0" w:after="60"/>
        <w:jc w:val="center"/>
      </w:pPr>
      <w:r>
        <w:rPr>
          <w:rFonts w:ascii="Arial" w:cs="Arial" w:eastAsia="Arial" w:hAnsi="Arial"/>
          <w:b/>
          <w:bCs/>
          <w:color w:val="4472C4"/>
          <w:sz w:val="28"/>
          <w:szCs w:val="28"/>
        </w:rPr>
        <w:t xml:space="preserve">Unidad 1 · Fundamentos de IA Generativa y LLMs</w:t>
      </w:r>
    </w:p>
    <w:p>
      <w:pPr>
        <w:spacing w:before="0" w:after="60"/>
        <w:jc w:val="center"/>
      </w:pPr>
      <w:r>
        <w:rPr>
          <w:rFonts w:ascii="Arial" w:cs="Arial" w:eastAsia="Arial" w:hAnsi="Arial"/>
          <w:i/>
          <w:iCs/>
          <w:color w:val="666666"/>
          <w:sz w:val="24"/>
          <w:szCs w:val="24"/>
        </w:rPr>
        <w:t xml:space="preserve">Análisis Comparativo de Técnicas Generativas</w:t>
      </w:r>
    </w:p>
    <w:p>
      <w:pPr>
        <w:spacing w:before="80" w:after="8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2E4A7A" w:sz="1"/>
              <w:left w:val="single" w:color="2E4A7A" w:sz="1"/>
              <w:bottom w:val="single" w:color="2E4A7A" w:sz="1"/>
              <w:right w:val="single" w:color="2E4A7A" w:sz="1"/>
            </w:tcBorders>
            <w:shd w:fill="EBF1FF" w:val="clear"/>
            <w:tcMar>
              <w:top w:type="dxa" w:w="160"/>
              <w:left w:type="dxa" w:w="280"/>
              <w:bottom w:type="dxa" w:w="160"/>
              <w:right w:type="dxa" w:w="280"/>
            </w:tcMar>
          </w:tcPr>
          <w:p>
            <w:pPr>
              <w:spacing w:before="40" w:after="40"/>
            </w:pPr>
            <w:r>
              <w:rPr>
                <w:rFonts w:ascii="Arial" w:cs="Arial" w:eastAsia="Arial" w:hAnsi="Arial"/>
                <w:b/>
                <w:bCs/>
                <w:color w:val="2E4A7A"/>
                <w:sz w:val="20"/>
                <w:szCs w:val="20"/>
              </w:rPr>
              <w:t xml:space="preserve">👤 Tipo:  </w:t>
            </w:r>
            <w:r>
              <w:rPr>
                <w:rFonts w:ascii="Arial" w:cs="Arial" w:eastAsia="Arial" w:hAnsi="Arial"/>
                <w:sz w:val="20"/>
                <w:szCs w:val="20"/>
              </w:rPr>
              <w:t xml:space="preserve">Individual</w:t>
            </w:r>
          </w:p>
          <w:p>
            <w:pPr>
              <w:spacing w:before="40" w:after="40"/>
            </w:pPr>
            <w:r>
              <w:rPr>
                <w:rFonts w:ascii="Arial" w:cs="Arial" w:eastAsia="Arial" w:hAnsi="Arial"/>
                <w:b/>
                <w:bCs/>
                <w:color w:val="2E4A7A"/>
                <w:sz w:val="20"/>
                <w:szCs w:val="20"/>
              </w:rPr>
              <w:t xml:space="preserve">⏱ Duración estimada:  </w:t>
            </w:r>
            <w:r>
              <w:rPr>
                <w:rFonts w:ascii="Arial" w:cs="Arial" w:eastAsia="Arial" w:hAnsi="Arial"/>
                <w:sz w:val="20"/>
                <w:szCs w:val="20"/>
              </w:rPr>
              <w:t xml:space="preserve">90–120 minutos</w:t>
            </w:r>
          </w:p>
          <w:p>
            <w:pPr>
              <w:spacing w:before="40" w:after="40"/>
            </w:pPr>
            <w:r>
              <w:rPr>
                <w:rFonts w:ascii="Arial" w:cs="Arial" w:eastAsia="Arial" w:hAnsi="Arial"/>
                <w:b/>
                <w:bCs/>
                <w:color w:val="2E4A7A"/>
                <w:sz w:val="20"/>
                <w:szCs w:val="20"/>
              </w:rPr>
              <w:t xml:space="preserve">📄 Entregable:  </w:t>
            </w:r>
            <w:r>
              <w:rPr>
                <w:rFonts w:ascii="Arial" w:cs="Arial" w:eastAsia="Arial" w:hAnsi="Arial"/>
                <w:sz w:val="20"/>
                <w:szCs w:val="20"/>
              </w:rPr>
              <w:t xml:space="preserve">Documento PDF (máx. 5 páginas)</w:t>
            </w:r>
          </w:p>
          <w:p>
            <w:pPr>
              <w:spacing w:before="40" w:after="40"/>
            </w:pPr>
            <w:r>
              <w:rPr>
                <w:rFonts w:ascii="Arial" w:cs="Arial" w:eastAsia="Arial" w:hAnsi="Arial"/>
                <w:b/>
                <w:bCs/>
                <w:color w:val="2E4A7A"/>
                <w:sz w:val="20"/>
                <w:szCs w:val="20"/>
              </w:rPr>
              <w:t xml:space="preserve">📊 Peso en nota:  </w:t>
            </w:r>
            <w:r>
              <w:rPr>
                <w:rFonts w:ascii="Arial" w:cs="Arial" w:eastAsia="Arial" w:hAnsi="Arial"/>
                <w:sz w:val="20"/>
                <w:szCs w:val="20"/>
              </w:rPr>
              <w:t xml:space="preserve">15%</w:t>
            </w:r>
          </w:p>
        </w:tc>
      </w:tr>
    </w:tbl>
    <w:p>
      <w:pPr>
        <w:spacing w:before="200" w:after="200"/>
      </w:pPr>
      <w:r>
        <w:t xml:space="preserve"/>
      </w:r>
    </w:p>
    <w:p>
      <w:pPr>
        <w:spacing w:before="200" w:after="200"/>
      </w:pPr>
      <w:r>
        <w:t xml:space="preserve"/>
      </w:r>
    </w:p>
    <w:p>
      <w:pPr>
        <w:spacing w:before="0" w:after="600"/>
        <w:jc w:val="center"/>
      </w:pPr>
      <w:r>
        <w:rPr>
          <w:rFonts w:ascii="Arial" w:cs="Arial" w:eastAsia="Arial" w:hAnsi="Arial"/>
          <w:color w:val="888888"/>
          <w:sz w:val="20"/>
          <w:szCs w:val="20"/>
        </w:rPr>
        <w:t xml:space="preserve">Fecha de entrega: ___________________________</w:t>
      </w:r>
    </w:p>
    <w:p>
      <w:r>
        <w:br w:type="page"/>
      </w:r>
    </w:p>
    <w:p>
      <w:pPr>
        <w:pStyle w:val="Heading1"/>
      </w:pPr>
      <w:r>
        <w:rPr>
          <w:rFonts w:ascii="Arial" w:cs="Arial" w:eastAsia="Arial" w:hAnsi="Arial"/>
          <w:b/>
          <w:bCs/>
          <w:color w:val="1F3864"/>
          <w:sz w:val="38"/>
          <w:szCs w:val="38"/>
        </w:rPr>
        <w:t xml:space="preserve">Parte 1: Selección de Técnicas Generativas</w:t>
      </w:r>
    </w:p>
    <w:p>
      <w:pPr>
        <w:pStyle w:val="Heading2"/>
      </w:pPr>
      <w:r>
        <w:rPr>
          <w:rFonts w:ascii="Arial" w:cs="Arial" w:eastAsia="Arial" w:hAnsi="Arial"/>
          <w:b/>
          <w:bCs/>
          <w:color w:val="2E4A7A"/>
          <w:sz w:val="28"/>
          <w:szCs w:val="28"/>
        </w:rPr>
        <w:t xml:space="preserve">Ejercicio 1.1 · Casos de Uso</w:t>
      </w:r>
    </w:p>
    <w:p>
      <w:pPr>
        <w:spacing w:before="80" w:after="120"/>
      </w:pPr>
      <w:r>
        <w:rPr>
          <w:rFonts w:ascii="Arial" w:cs="Arial" w:eastAsia="Arial" w:hAnsi="Arial"/>
          <w:b w:val="false"/>
          <w:bCs w:val="false"/>
          <w:i w:val="false"/>
          <w:iCs w:val="false"/>
          <w:color w:val="222222"/>
          <w:sz w:val="20"/>
          <w:szCs w:val="20"/>
        </w:rPr>
        <w:t xml:space="preserve">Para cada caso de uso se indica la técnica generativa más apropiada y su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Caso de Uso</w:t>
            </w:r>
          </w:p>
        </w:tc>
        <w:tc>
          <w:tcPr>
            <w:tcW w:type="dxa" w:w="120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Técnica</w:t>
            </w:r>
          </w:p>
        </w:tc>
        <w:tc>
          <w:tcPr>
            <w:tcW w:type="dxa" w:w="496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Justificación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333333"/>
                <w:sz w:val="19"/>
                <w:szCs w:val="19"/>
              </w:rPr>
              <w:t xml:space="preserve">App móvil que aplica filtros artísticos a fotos en tiempo real (&lt;100ms)</w:t>
            </w:r>
          </w:p>
        </w:tc>
        <w:tc>
          <w:tcPr>
            <w:tcW w:type="dxa" w:w="1200"/>
            <w:tcBorders>
              <w:top w:val="single" w:color="2E4A7A" w:sz="1"/>
              <w:left w:val="single" w:color="2E4A7A" w:sz="1"/>
              <w:bottom w:val="single" w:color="2E4A7A" w:sz="1"/>
              <w:right w:val="single" w:color="2E4A7A"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GAN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Las GANs generan imágenes en una sola pasada forward (milisegundos) una vez entrenadas, lo que las hace las únicas viables para tiempo real. Los modelos de difusión requieren decenas de pasos iterativos (~2–10 segundos), incompatibles con la restricción de &lt;100ms.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333333"/>
                <w:sz w:val="19"/>
                <w:szCs w:val="19"/>
              </w:rPr>
              <w:t xml:space="preserve">Plataforma de generación de arte digital de alta calidad con control por texto</w:t>
            </w:r>
          </w:p>
        </w:tc>
        <w:tc>
          <w:tcPr>
            <w:tcW w:type="dxa" w:w="1200"/>
            <w:tcBorders>
              <w:top w:val="single" w:color="2E4A7A" w:sz="1"/>
              <w:left w:val="single" w:color="2E4A7A" w:sz="1"/>
              <w:bottom w:val="single" w:color="2E4A7A" w:sz="1"/>
              <w:right w:val="single" w:color="2E4A7A" w:sz="1"/>
            </w:tcBorders>
            <w:shd w:fill="FFF3CD" w:val="clear"/>
            <w:tcMar>
              <w:top w:type="dxa" w:w="80"/>
              <w:left w:type="dxa" w:w="100"/>
              <w:bottom w:type="dxa" w:w="80"/>
              <w:right w:type="dxa" w:w="100"/>
            </w:tcMar>
          </w:tcPr>
          <w:p>
            <w:pPr>
              <w:jc w:val="center"/>
            </w:pPr>
            <w:r>
              <w:rPr>
                <w:rFonts w:ascii="Arial" w:cs="Arial" w:eastAsia="Arial" w:hAnsi="Arial"/>
                <w:b/>
                <w:bCs/>
                <w:color w:val="7D5A00"/>
                <w:sz w:val="20"/>
                <w:szCs w:val="20"/>
              </w:rPr>
              <w:t xml:space="preserve">Difusión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Los modelos de difusión (Stable Diffusion, DALL-E 3, Midjourney) producen imágenes fotorrealistas de máxima calidad con control semántico preciso mediante texto. Superan a las GANs en coherencia entre prompt e imagen y en diversidad de estilos.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333333"/>
                <w:sz w:val="19"/>
                <w:szCs w:val="19"/>
              </w:rPr>
              <w:t xml:space="preserve">Sistema de detección de anomalías en imágenes médicas con espacio latente interpretable</w:t>
            </w:r>
          </w:p>
        </w:tc>
        <w:tc>
          <w:tcPr>
            <w:tcW w:type="dxa" w:w="1200"/>
            <w:tcBorders>
              <w:top w:val="single" w:color="2E4A7A" w:sz="1"/>
              <w:left w:val="single" w:color="2E4A7A" w:sz="1"/>
              <w:bottom w:val="single" w:color="2E4A7A" w:sz="1"/>
              <w:right w:val="single" w:color="2E4A7A" w:sz="1"/>
            </w:tcBorders>
            <w:shd w:fill="D1ECF1" w:val="clear"/>
            <w:tcMar>
              <w:top w:type="dxa" w:w="80"/>
              <w:left w:type="dxa" w:w="100"/>
              <w:bottom w:type="dxa" w:w="80"/>
              <w:right w:type="dxa" w:w="100"/>
            </w:tcMar>
          </w:tcPr>
          <w:p>
            <w:pPr>
              <w:jc w:val="center"/>
            </w:pPr>
            <w:r>
              <w:rPr>
                <w:rFonts w:ascii="Arial" w:cs="Arial" w:eastAsia="Arial" w:hAnsi="Arial"/>
                <w:b/>
                <w:bCs/>
                <w:color w:val="0C5460"/>
                <w:sz w:val="20"/>
                <w:szCs w:val="20"/>
              </w:rPr>
              <w:t xml:space="preserve">VAE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Los VAEs aprenden un espacio latente gaussiano continuo y estructurado: las imágenes normales se codifican en zonas densas del espacio, mientras que las anomalías quedan fuera de la distribución aprendida. El error de reconstrucción actúa como puntuación de anomalía directamente interpretable.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333333"/>
                <w:sz w:val="19"/>
                <w:szCs w:val="19"/>
              </w:rPr>
              <w:t xml:space="preserve">Generador de datos sintéticos para entrenar modelos de reconocimiento facial preservando privacidad</w:t>
            </w:r>
          </w:p>
        </w:tc>
        <w:tc>
          <w:tcPr>
            <w:tcW w:type="dxa" w:w="1200"/>
            <w:tcBorders>
              <w:top w:val="single" w:color="2E4A7A" w:sz="1"/>
              <w:left w:val="single" w:color="2E4A7A" w:sz="1"/>
              <w:bottom w:val="single" w:color="2E4A7A" w:sz="1"/>
              <w:right w:val="single" w:color="2E4A7A"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GAN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Las GANs (especialmente StyleGAN3) generan rostros sintéticos fotorrealistas estadísticamente imposibles de rastrear hasta personas reales, preservando la privacidad. Producen la mayor diversidad y calidad para datos de entrenamiento de reconocimiento facial.</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333333"/>
                <w:sz w:val="19"/>
                <w:szCs w:val="19"/>
              </w:rPr>
              <w:t xml:space="preserve">Asistente virtual que responde preguntas sobre documentación técnica</w:t>
            </w:r>
          </w:p>
        </w:tc>
        <w:tc>
          <w:tcPr>
            <w:tcW w:type="dxa" w:w="1200"/>
            <w:tcBorders>
              <w:top w:val="single" w:color="2E4A7A" w:sz="1"/>
              <w:left w:val="single" w:color="2E4A7A" w:sz="1"/>
              <w:bottom w:val="single" w:color="2E4A7A" w:sz="1"/>
              <w:right w:val="single" w:color="2E4A7A" w:sz="1"/>
            </w:tcBorders>
            <w:shd w:fill="E2D9F3" w:val="clear"/>
            <w:tcMar>
              <w:top w:type="dxa" w:w="80"/>
              <w:left w:type="dxa" w:w="100"/>
              <w:bottom w:type="dxa" w:w="80"/>
              <w:right w:type="dxa" w:w="100"/>
            </w:tcMar>
          </w:tcPr>
          <w:p>
            <w:pPr>
              <w:jc w:val="center"/>
            </w:pPr>
            <w:r>
              <w:rPr>
                <w:rFonts w:ascii="Arial" w:cs="Arial" w:eastAsia="Arial" w:hAnsi="Arial"/>
                <w:b/>
                <w:bCs/>
                <w:color w:val="4A235A"/>
                <w:sz w:val="20"/>
                <w:szCs w:val="20"/>
              </w:rPr>
              <w:t xml:space="preserve">LLM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Los LLMs son la única arquitectura diseñada específicamente para comprensión y generación de lenguaje natural. Combinados con RAG (Retrieval-Augmented Generation) sobre la documentación, ofrecen respuestas precisas, contextualizadas y actualizables sin re-entrenar.</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333333"/>
                <w:sz w:val="19"/>
                <w:szCs w:val="19"/>
              </w:rPr>
              <w:t xml:space="preserve">Herramienta de interpolación entre estilos artísticos para animación</w:t>
            </w:r>
          </w:p>
        </w:tc>
        <w:tc>
          <w:tcPr>
            <w:tcW w:type="dxa" w:w="1200"/>
            <w:tcBorders>
              <w:top w:val="single" w:color="2E4A7A" w:sz="1"/>
              <w:left w:val="single" w:color="2E4A7A" w:sz="1"/>
              <w:bottom w:val="single" w:color="2E4A7A" w:sz="1"/>
              <w:right w:val="single" w:color="2E4A7A" w:sz="1"/>
            </w:tcBorders>
            <w:shd w:fill="D1ECF1" w:val="clear"/>
            <w:tcMar>
              <w:top w:type="dxa" w:w="80"/>
              <w:left w:type="dxa" w:w="100"/>
              <w:bottom w:type="dxa" w:w="80"/>
              <w:right w:type="dxa" w:w="100"/>
            </w:tcMar>
          </w:tcPr>
          <w:p>
            <w:pPr>
              <w:jc w:val="center"/>
            </w:pPr>
            <w:r>
              <w:rPr>
                <w:rFonts w:ascii="Arial" w:cs="Arial" w:eastAsia="Arial" w:hAnsi="Arial"/>
                <w:b/>
                <w:bCs/>
                <w:color w:val="0C5460"/>
                <w:sz w:val="20"/>
                <w:szCs w:val="20"/>
              </w:rPr>
              <w:t xml:space="preserve">VAE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espacio latente continuo de los VAEs permite interpolar linealmente entre dos puntos (dos estilos artísticos) obteniendo transiciones suaves y coherentes. Los difusores también son válidos con DDIM inversion, pero los VAEs ofrecen mayor control y menor coste computacional para esta tarea específica.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1FF" w:val="clear"/>
            <w:tcMar>
              <w:top w:type="dxa" w:w="100"/>
              <w:left w:type="dxa" w:w="160"/>
              <w:bottom w:type="dxa" w:w="100"/>
              <w:right w:type="dxa" w:w="160"/>
            </w:tcMar>
          </w:tcPr>
          <w:p>
            <w:r>
              <w:rPr>
                <w:rFonts w:ascii="Arial" w:cs="Arial" w:eastAsia="Arial" w:hAnsi="Arial"/>
                <w:i/>
                <w:iCs/>
                <w:color w:val="1F3864"/>
                <w:sz w:val="19"/>
                <w:szCs w:val="19"/>
              </w:rPr>
              <w:t xml:space="preserve">Leyenda de técnicas: GAN = Generative Adversarial Network  ·  VAE = Variational Autoencoder  ·  Difusión = Modelos de Difusión (Stable Diffusion, DALL-E)  ·  LLM = Large Language Model</w:t>
            </w:r>
          </w:p>
        </w:tc>
      </w:tr>
    </w:tbl>
    <w:p>
      <w:pPr>
        <w:spacing w:before="80" w:after="80"/>
      </w:pPr>
      <w:r>
        <w:t xml:space="preserve"/>
      </w:r>
    </w:p>
    <w:p>
      <w:pPr>
        <w:pStyle w:val="Heading2"/>
      </w:pPr>
      <w:r>
        <w:rPr>
          <w:rFonts w:ascii="Arial" w:cs="Arial" w:eastAsia="Arial" w:hAnsi="Arial"/>
          <w:b/>
          <w:bCs/>
          <w:color w:val="2E4A7A"/>
          <w:sz w:val="28"/>
          <w:szCs w:val="28"/>
        </w:rPr>
        <w:t xml:space="preserve">Ejercicio 1.2 · Trade-offs Comparativos</w:t>
      </w:r>
    </w:p>
    <w:p>
      <w:pPr>
        <w:spacing w:before="80" w:after="120"/>
      </w:pPr>
      <w:r>
        <w:rPr>
          <w:rFonts w:ascii="Arial" w:cs="Arial" w:eastAsia="Arial" w:hAnsi="Arial"/>
          <w:b w:val="false"/>
          <w:bCs w:val="false"/>
          <w:i w:val="false"/>
          <w:iCs w:val="false"/>
          <w:color w:val="222222"/>
          <w:sz w:val="20"/>
          <w:szCs w:val="20"/>
        </w:rPr>
        <w:t xml:space="preserve">Valoración comparativa de las cuatro arquitecturas según criterios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c>
          <w:tcPr>
            <w:tcW w:type="dxa" w:w="276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Criterio</w:t>
            </w:r>
          </w:p>
        </w:tc>
        <w:tc>
          <w:tcPr>
            <w:tcW w:type="dxa" w:w="165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GANs</w:t>
            </w:r>
          </w:p>
        </w:tc>
        <w:tc>
          <w:tcPr>
            <w:tcW w:type="dxa" w:w="165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VAEs</w:t>
            </w:r>
          </w:p>
        </w:tc>
        <w:tc>
          <w:tcPr>
            <w:tcW w:type="dxa" w:w="165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Difusión</w:t>
            </w:r>
          </w:p>
        </w:tc>
        <w:tc>
          <w:tcPr>
            <w:tcW w:type="dxa" w:w="165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LLMs</w:t>
            </w:r>
          </w:p>
        </w:tc>
      </w:tr>
      <w:tr>
        <w:tc>
          <w:tcPr>
            <w:tcW w:type="dxa" w:w="276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Velocidad de generación</w:t>
            </w:r>
          </w:p>
        </w:tc>
        <w:tc>
          <w:tcPr>
            <w:tcW w:type="dxa" w:w="165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Alta</w:t>
            </w:r>
          </w:p>
        </w:tc>
        <w:tc>
          <w:tcPr>
            <w:tcW w:type="dxa" w:w="165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Alta</w:t>
            </w:r>
          </w:p>
        </w:tc>
        <w:tc>
          <w:tcPr>
            <w:tcW w:type="dxa" w:w="1650"/>
            <w:tcBorders>
              <w:top w:val="single" w:color="CCCCCC" w:sz="1"/>
              <w:left w:val="single" w:color="CCCCCC" w:sz="1"/>
              <w:bottom w:val="single" w:color="CCCCCC" w:sz="1"/>
              <w:right w:val="single" w:color="CCCCCC" w:sz="1"/>
            </w:tcBorders>
            <w:shd w:fill="F8D7DA" w:val="clear"/>
            <w:tcMar>
              <w:top w:type="dxa" w:w="80"/>
              <w:left w:type="dxa" w:w="100"/>
              <w:bottom w:type="dxa" w:w="80"/>
              <w:right w:type="dxa" w:w="100"/>
            </w:tcMar>
          </w:tcPr>
          <w:p>
            <w:pPr>
              <w:jc w:val="center"/>
            </w:pPr>
            <w:r>
              <w:rPr>
                <w:rFonts w:ascii="Arial" w:cs="Arial" w:eastAsia="Arial" w:hAnsi="Arial"/>
                <w:b/>
                <w:bCs/>
                <w:color w:val="721C24"/>
                <w:sz w:val="20"/>
                <w:szCs w:val="20"/>
              </w:rPr>
              <w:t xml:space="preserve">Baja</w:t>
            </w:r>
          </w:p>
        </w:tc>
        <w:tc>
          <w:tcPr>
            <w:tcW w:type="dxa" w:w="165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pPr>
              <w:jc w:val="center"/>
            </w:pPr>
            <w:r>
              <w:rPr>
                <w:rFonts w:ascii="Arial" w:cs="Arial" w:eastAsia="Arial" w:hAnsi="Arial"/>
                <w:b/>
                <w:bCs/>
                <w:color w:val="7D5A00"/>
                <w:sz w:val="20"/>
                <w:szCs w:val="20"/>
              </w:rPr>
              <w:t xml:space="preserve">Media</w:t>
            </w:r>
          </w:p>
        </w:tc>
      </w:tr>
      <w:tr>
        <w:tc>
          <w:tcPr>
            <w:tcW w:type="dxa" w:w="276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Calidad de salida</w:t>
            </w:r>
          </w:p>
        </w:tc>
        <w:tc>
          <w:tcPr>
            <w:tcW w:type="dxa" w:w="165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Alta</w:t>
            </w:r>
          </w:p>
        </w:tc>
        <w:tc>
          <w:tcPr>
            <w:tcW w:type="dxa" w:w="165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pPr>
              <w:jc w:val="center"/>
            </w:pPr>
            <w:r>
              <w:rPr>
                <w:rFonts w:ascii="Arial" w:cs="Arial" w:eastAsia="Arial" w:hAnsi="Arial"/>
                <w:b/>
                <w:bCs/>
                <w:color w:val="7D5A00"/>
                <w:sz w:val="20"/>
                <w:szCs w:val="20"/>
              </w:rPr>
              <w:t xml:space="preserve">Media</w:t>
            </w:r>
          </w:p>
        </w:tc>
        <w:tc>
          <w:tcPr>
            <w:tcW w:type="dxa" w:w="165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Alta</w:t>
            </w:r>
          </w:p>
        </w:tc>
        <w:tc>
          <w:tcPr>
            <w:tcW w:type="dxa" w:w="165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Alta</w:t>
            </w:r>
          </w:p>
        </w:tc>
      </w:tr>
      <w:tr>
        <w:tc>
          <w:tcPr>
            <w:tcW w:type="dxa" w:w="276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Estabilidad de entrenamiento</w:t>
            </w:r>
          </w:p>
        </w:tc>
        <w:tc>
          <w:tcPr>
            <w:tcW w:type="dxa" w:w="1650"/>
            <w:tcBorders>
              <w:top w:val="single" w:color="CCCCCC" w:sz="1"/>
              <w:left w:val="single" w:color="CCCCCC" w:sz="1"/>
              <w:bottom w:val="single" w:color="CCCCCC" w:sz="1"/>
              <w:right w:val="single" w:color="CCCCCC" w:sz="1"/>
            </w:tcBorders>
            <w:shd w:fill="F8D7DA" w:val="clear"/>
            <w:tcMar>
              <w:top w:type="dxa" w:w="80"/>
              <w:left w:type="dxa" w:w="100"/>
              <w:bottom w:type="dxa" w:w="80"/>
              <w:right w:type="dxa" w:w="100"/>
            </w:tcMar>
          </w:tcPr>
          <w:p>
            <w:pPr>
              <w:jc w:val="center"/>
            </w:pPr>
            <w:r>
              <w:rPr>
                <w:rFonts w:ascii="Arial" w:cs="Arial" w:eastAsia="Arial" w:hAnsi="Arial"/>
                <w:b/>
                <w:bCs/>
                <w:color w:val="721C24"/>
                <w:sz w:val="20"/>
                <w:szCs w:val="20"/>
              </w:rPr>
              <w:t xml:space="preserve">Baja</w:t>
            </w:r>
          </w:p>
        </w:tc>
        <w:tc>
          <w:tcPr>
            <w:tcW w:type="dxa" w:w="165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Alta</w:t>
            </w:r>
          </w:p>
        </w:tc>
        <w:tc>
          <w:tcPr>
            <w:tcW w:type="dxa" w:w="165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Alta</w:t>
            </w:r>
          </w:p>
        </w:tc>
        <w:tc>
          <w:tcPr>
            <w:tcW w:type="dxa" w:w="165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pPr>
              <w:jc w:val="center"/>
            </w:pPr>
            <w:r>
              <w:rPr>
                <w:rFonts w:ascii="Arial" w:cs="Arial" w:eastAsia="Arial" w:hAnsi="Arial"/>
                <w:b/>
                <w:bCs/>
                <w:color w:val="7D5A00"/>
                <w:sz w:val="20"/>
                <w:szCs w:val="20"/>
              </w:rPr>
              <w:t xml:space="preserve">Media</w:t>
            </w:r>
          </w:p>
        </w:tc>
      </w:tr>
      <w:tr>
        <w:tc>
          <w:tcPr>
            <w:tcW w:type="dxa" w:w="276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Control sobre la salida</w:t>
            </w:r>
          </w:p>
        </w:tc>
        <w:tc>
          <w:tcPr>
            <w:tcW w:type="dxa" w:w="165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pPr>
              <w:jc w:val="center"/>
            </w:pPr>
            <w:r>
              <w:rPr>
                <w:rFonts w:ascii="Arial" w:cs="Arial" w:eastAsia="Arial" w:hAnsi="Arial"/>
                <w:b/>
                <w:bCs/>
                <w:color w:val="7D5A00"/>
                <w:sz w:val="20"/>
                <w:szCs w:val="20"/>
              </w:rPr>
              <w:t xml:space="preserve">Media</w:t>
            </w:r>
          </w:p>
        </w:tc>
        <w:tc>
          <w:tcPr>
            <w:tcW w:type="dxa" w:w="165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Alta</w:t>
            </w:r>
          </w:p>
        </w:tc>
        <w:tc>
          <w:tcPr>
            <w:tcW w:type="dxa" w:w="165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Alta</w:t>
            </w:r>
          </w:p>
        </w:tc>
        <w:tc>
          <w:tcPr>
            <w:tcW w:type="dxa" w:w="165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Alta</w:t>
            </w:r>
          </w:p>
        </w:tc>
      </w:tr>
      <w:tr>
        <w:tc>
          <w:tcPr>
            <w:tcW w:type="dxa" w:w="276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Facilidad de uso</w:t>
            </w:r>
          </w:p>
        </w:tc>
        <w:tc>
          <w:tcPr>
            <w:tcW w:type="dxa" w:w="1650"/>
            <w:tcBorders>
              <w:top w:val="single" w:color="CCCCCC" w:sz="1"/>
              <w:left w:val="single" w:color="CCCCCC" w:sz="1"/>
              <w:bottom w:val="single" w:color="CCCCCC" w:sz="1"/>
              <w:right w:val="single" w:color="CCCCCC" w:sz="1"/>
            </w:tcBorders>
            <w:shd w:fill="F8D7DA" w:val="clear"/>
            <w:tcMar>
              <w:top w:type="dxa" w:w="80"/>
              <w:left w:type="dxa" w:w="100"/>
              <w:bottom w:type="dxa" w:w="80"/>
              <w:right w:type="dxa" w:w="100"/>
            </w:tcMar>
          </w:tcPr>
          <w:p>
            <w:pPr>
              <w:jc w:val="center"/>
            </w:pPr>
            <w:r>
              <w:rPr>
                <w:rFonts w:ascii="Arial" w:cs="Arial" w:eastAsia="Arial" w:hAnsi="Arial"/>
                <w:b/>
                <w:bCs/>
                <w:color w:val="721C24"/>
                <w:sz w:val="20"/>
                <w:szCs w:val="20"/>
              </w:rPr>
              <w:t xml:space="preserve">Baja</w:t>
            </w:r>
          </w:p>
        </w:tc>
        <w:tc>
          <w:tcPr>
            <w:tcW w:type="dxa" w:w="165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pPr>
              <w:jc w:val="center"/>
            </w:pPr>
            <w:r>
              <w:rPr>
                <w:rFonts w:ascii="Arial" w:cs="Arial" w:eastAsia="Arial" w:hAnsi="Arial"/>
                <w:b/>
                <w:bCs/>
                <w:color w:val="7D5A00"/>
                <w:sz w:val="20"/>
                <w:szCs w:val="20"/>
              </w:rPr>
              <w:t xml:space="preserve">Media</w:t>
            </w:r>
          </w:p>
        </w:tc>
        <w:tc>
          <w:tcPr>
            <w:tcW w:type="dxa" w:w="165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pPr>
              <w:jc w:val="center"/>
            </w:pPr>
            <w:r>
              <w:rPr>
                <w:rFonts w:ascii="Arial" w:cs="Arial" w:eastAsia="Arial" w:hAnsi="Arial"/>
                <w:b/>
                <w:bCs/>
                <w:color w:val="7D5A00"/>
                <w:sz w:val="20"/>
                <w:szCs w:val="20"/>
              </w:rPr>
              <w:t xml:space="preserve">Media</w:t>
            </w:r>
          </w:p>
        </w:tc>
        <w:tc>
          <w:tcPr>
            <w:tcW w:type="dxa" w:w="165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Alta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before="0" w:after="60"/>
            </w:pPr>
            <w:r>
              <w:rPr>
                <w:rFonts w:ascii="Arial" w:cs="Arial" w:eastAsia="Arial" w:hAnsi="Arial"/>
                <w:b/>
                <w:bCs/>
                <w:color w:val="1F3864"/>
                <w:sz w:val="20"/>
                <w:szCs w:val="20"/>
              </w:rPr>
              <w:t xml:space="preserve">Análisis de los trade-offs principales:</w:t>
            </w:r>
          </w:p>
          <w:p>
            <w:pPr>
              <w:spacing w:before="40" w:after="40"/>
            </w:pPr>
            <w:r>
              <w:rPr>
                <w:rFonts w:ascii="Arial" w:cs="Arial" w:eastAsia="Arial" w:hAnsi="Arial"/>
                <w:b w:val="false"/>
                <w:bCs w:val="false"/>
                <w:color w:val="222222"/>
                <w:sz w:val="20"/>
                <w:szCs w:val="20"/>
              </w:rPr>
              <w:t xml:space="preserve">• Velocidad vs Calidad: Las GANs y VAEs ganan en velocidad (inferencia en una pasada), pero los modelos de difusión producen la mayor calidad visual. Para aplicaciones en tiempo real no hay alternativa a GAN.</w:t>
            </w:r>
          </w:p>
          <w:p>
            <w:pPr>
              <w:spacing w:before="40" w:after="40"/>
            </w:pPr>
            <w:r>
              <w:rPr>
                <w:rFonts w:ascii="Arial" w:cs="Arial" w:eastAsia="Arial" w:hAnsi="Arial"/>
                <w:b w:val="false"/>
                <w:bCs w:val="false"/>
                <w:color w:val="222222"/>
                <w:sz w:val="20"/>
                <w:szCs w:val="20"/>
              </w:rPr>
              <w:t xml:space="preserve">• Estabilidad de entrenamiento: Las GANs son notoriamente inestables (mode collapse, vanishing gradients). VAEs y modelos de difusión son sustancialmente más fáciles de entrenar.</w:t>
            </w:r>
          </w:p>
          <w:p>
            <w:pPr>
              <w:spacing w:before="40" w:after="0"/>
            </w:pPr>
            <w:r>
              <w:rPr>
                <w:rFonts w:ascii="Arial" w:cs="Arial" w:eastAsia="Arial" w:hAnsi="Arial"/>
                <w:b w:val="false"/>
                <w:bCs w:val="false"/>
                <w:color w:val="222222"/>
                <w:sz w:val="20"/>
                <w:szCs w:val="20"/>
              </w:rPr>
              <w:t xml:space="preserve">• Control y facilidad: Los LLMs destacan en control (instrucciones en lenguaje natural) y son los más accesibles vía APIs. Las GANs requieren diseño de arquitectura experto.</w:t>
            </w:r>
          </w:p>
        </w:tc>
      </w:tr>
    </w:tbl>
    <w:p>
      <w:r>
        <w:br w:type="page"/>
      </w:r>
    </w:p>
    <w:p>
      <w:pPr>
        <w:pStyle w:val="Heading1"/>
      </w:pPr>
      <w:r>
        <w:rPr>
          <w:rFonts w:ascii="Arial" w:cs="Arial" w:eastAsia="Arial" w:hAnsi="Arial"/>
          <w:b/>
          <w:bCs/>
          <w:color w:val="1F3864"/>
          <w:sz w:val="38"/>
          <w:szCs w:val="38"/>
        </w:rPr>
        <w:t xml:space="preserve">Parte 2: Ciclo de Vida de LLMs</w:t>
      </w:r>
    </w:p>
    <w:p>
      <w:pPr>
        <w:pStyle w:val="Heading2"/>
      </w:pPr>
      <w:r>
        <w:rPr>
          <w:rFonts w:ascii="Arial" w:cs="Arial" w:eastAsia="Arial" w:hAnsi="Arial"/>
          <w:b/>
          <w:bCs/>
          <w:color w:val="2E4A7A"/>
          <w:sz w:val="28"/>
          <w:szCs w:val="28"/>
        </w:rPr>
        <w:t xml:space="preserve">Ejercicio 2.1 · Ordenar el Pipeline</w:t>
      </w:r>
    </w:p>
    <w:p>
      <w:pPr>
        <w:spacing w:before="80" w:after="120"/>
      </w:pPr>
      <w:r>
        <w:rPr>
          <w:rFonts w:ascii="Arial" w:cs="Arial" w:eastAsia="Arial" w:hAnsi="Arial"/>
          <w:b w:val="false"/>
          <w:bCs w:val="false"/>
          <w:i w:val="false"/>
          <w:iCs w:val="false"/>
          <w:color w:val="222222"/>
          <w:sz w:val="20"/>
          <w:szCs w:val="20"/>
        </w:rPr>
        <w:t xml:space="preserve">Etapas del ciclo de vida de un LLM ordenadas del 1 (primero) al 6 (último):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800"/>
        <w:gridCol w:w="4660"/>
      </w:tblGrid>
      <w:tr>
        <w:tc>
          <w:tcPr>
            <w:tcW w:type="dxa" w:w="390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Etapa</w:t>
            </w:r>
          </w:p>
        </w:tc>
        <w:tc>
          <w:tcPr>
            <w:tcW w:type="dxa" w:w="80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Orden</w:t>
            </w:r>
          </w:p>
        </w:tc>
        <w:tc>
          <w:tcPr>
            <w:tcW w:type="dxa" w:w="466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Descripción del paso</w:t>
            </w:r>
          </w:p>
        </w:tc>
      </w:tr>
      <w:tr>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333333"/>
                <w:sz w:val="19"/>
                <w:szCs w:val="19"/>
              </w:rPr>
              <w:t xml:space="preserve">Fine-tuning con datos específicos del dominio</w:t>
            </w:r>
          </w:p>
        </w:tc>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Adapta el modelo base a un dominio o tarea concreta con un dataset más pequeño y curado.</w:t>
            </w:r>
          </w:p>
        </w:tc>
      </w:tr>
      <w:tr>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333333"/>
                <w:sz w:val="19"/>
                <w:szCs w:val="19"/>
              </w:rPr>
              <w:t xml:space="preserve">Recopilación de datos de entrenamiento (Common Crawl, libros, código)</w:t>
            </w:r>
          </w:p>
        </w:tc>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Base de todo: sin datos de calidad y diversidad no hay modelo capaz.</w:t>
            </w:r>
          </w:p>
        </w:tc>
      </w:tr>
      <w:tr>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333333"/>
                <w:sz w:val="19"/>
                <w:szCs w:val="19"/>
              </w:rPr>
              <w:t xml:space="preserve">RLHF con feedback de evaluadores humanos</w:t>
            </w:r>
          </w:p>
        </w:tc>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4"/>
                <w:szCs w:val="24"/>
              </w:rPr>
              <w:t xml:space="preserve">4</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Alinea el comportamiento del modelo con valores y preferencias humanas.</w:t>
            </w:r>
          </w:p>
        </w:tc>
      </w:tr>
      <w:tr>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333333"/>
                <w:sz w:val="19"/>
                <w:szCs w:val="19"/>
              </w:rPr>
              <w:t xml:space="preserve">Pre-entrenamiento con objetivo de predicción del siguiente token</w:t>
            </w:r>
          </w:p>
        </w:tc>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El modelo aprende representaciones ricas del lenguaje sobre billones de tokens.</w:t>
            </w:r>
          </w:p>
        </w:tc>
      </w:tr>
      <w:tr>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333333"/>
                <w:sz w:val="19"/>
                <w:szCs w:val="19"/>
              </w:rPr>
              <w:t xml:space="preserve">Despliegue como API o producto</w:t>
            </w:r>
          </w:p>
        </w:tc>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4"/>
                <w:szCs w:val="24"/>
              </w:rPr>
              <w:t xml:space="preserve">6</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Último paso: el modelo llega a usuarios reales con infraestructura de producción.</w:t>
            </w:r>
          </w:p>
        </w:tc>
      </w:tr>
      <w:tr>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333333"/>
                <w:sz w:val="19"/>
                <w:szCs w:val="19"/>
              </w:rPr>
              <w:t xml:space="preserve">Evaluación y red-teaming de seguridad</w:t>
            </w:r>
          </w:p>
        </w:tc>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4"/>
                <w:szCs w:val="24"/>
              </w:rPr>
              <w:t xml:space="preserve">5</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Antes de desplegar se buscan activamente fallos, sesgos y comportamientos peligrosos.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1FF" w:val="clear"/>
            <w:tcMar>
              <w:top w:type="dxa" w:w="100"/>
              <w:left w:type="dxa" w:w="160"/>
              <w:bottom w:type="dxa" w:w="100"/>
              <w:right w:type="dxa" w:w="160"/>
            </w:tcMar>
          </w:tcPr>
          <w:p>
            <w:r>
              <w:rPr>
                <w:rFonts w:ascii="Arial" w:cs="Arial" w:eastAsia="Arial" w:hAnsi="Arial"/>
                <w:i/>
                <w:iCs/>
                <w:color w:val="1F3864"/>
                <w:sz w:val="19"/>
                <w:szCs w:val="19"/>
              </w:rPr>
              <w:t xml:space="preserve">El orden correcto refleja las dependencias técnicas: no se puede fine-tunear sin pre-entrenar, no se puede aplicar RLHF sin tener un modelo fine-tuneado, y no se despliega sin pasar por evaluación de seguridad.</w:t>
            </w:r>
          </w:p>
        </w:tc>
      </w:tr>
    </w:tbl>
    <w:p>
      <w:pPr>
        <w:spacing w:before="80" w:after="80"/>
      </w:pPr>
      <w:r>
        <w:t xml:space="preserve"/>
      </w:r>
    </w:p>
    <w:p>
      <w:pPr>
        <w:pStyle w:val="Heading2"/>
      </w:pPr>
      <w:r>
        <w:rPr>
          <w:rFonts w:ascii="Arial" w:cs="Arial" w:eastAsia="Arial" w:hAnsi="Arial"/>
          <w:b/>
          <w:bCs/>
          <w:color w:val="2E4A7A"/>
          <w:sz w:val="28"/>
          <w:szCs w:val="28"/>
        </w:rPr>
        <w:t xml:space="preserve">Ejercicio 2.2 · Análisis de Alineamiento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FF3CD" w:val="clear"/>
            <w:tcMar>
              <w:top w:type="dxa" w:w="100"/>
              <w:left w:type="dxa" w:w="160"/>
              <w:bottom w:type="dxa" w:w="100"/>
              <w:right w:type="dxa" w:w="160"/>
            </w:tcMar>
          </w:tcPr>
          <w:p>
            <w:r>
              <w:rPr>
                <w:rFonts w:ascii="Arial" w:cs="Arial" w:eastAsia="Arial" w:hAnsi="Arial"/>
                <w:i/>
                <w:iCs/>
                <w:color w:val="7D5A00"/>
                <w:sz w:val="19"/>
                <w:szCs w:val="19"/>
              </w:rPr>
              <w:t xml:space="preserve">Escenario: un modelo base genera técnicas de phishing al pedírsele un "email convincente para obtener contraseñas". El mismo prompt en un modelo alineado con RLHF es rechazado con una respuesta segura.</w:t>
            </w:r>
          </w:p>
        </w:tc>
      </w:tr>
    </w:tbl>
    <w:p>
      <w:pPr>
        <w:spacing w:before="80" w:after="80"/>
      </w:pPr>
      <w:r>
        <w:t xml:space="preserve"/>
      </w:r>
    </w:p>
    <w:p>
      <w:pPr>
        <w:spacing w:before="140" w:after="80"/>
      </w:pPr>
      <w:r>
        <w:rPr>
          <w:rFonts w:ascii="Arial" w:cs="Arial" w:eastAsia="Arial" w:hAnsi="Arial"/>
          <w:b/>
          <w:bCs/>
          <w:i w:val="false"/>
          <w:iCs w:val="false"/>
          <w:color w:val="222222"/>
          <w:sz w:val="20"/>
          <w:szCs w:val="20"/>
        </w:rPr>
        <w:t xml:space="preserve">a) ¿Por qué el modelo base responde de manera literal a la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before="40" w:after="0"/>
            </w:pPr>
            <w:r>
              <w:rPr>
                <w:rFonts w:ascii="Arial" w:cs="Arial" w:eastAsia="Arial" w:hAnsi="Arial"/>
                <w:b w:val="false"/>
                <w:bCs w:val="false"/>
                <w:color w:val="222222"/>
                <w:sz w:val="20"/>
                <w:szCs w:val="20"/>
              </w:rPr>
              <w:t xml:space="preserve">El modelo base solo ha sido entrenado con el objetivo de predecir el siguiente token más probable en una secuencia de texto. No tiene ningún concepto de 'solicitud dañina' frente a 'solicitud legítima': para él, completar 'cómo obtener la contraseña de alguien' con técnicas de phishing es estadísticamente coherente porque ese tipo de contenido existe en sus datos de entrenamiento. El modelo no razona sobre consecuencias ni intenciones; simplemente modela la distribución estadística del lenguaje humano, que incluye textos sobre ingeniería social, phishing y manipulación.</w:t>
            </w:r>
          </w:p>
        </w:tc>
      </w:tr>
    </w:tbl>
    <w:p>
      <w:pPr>
        <w:spacing w:before="80" w:after="80"/>
      </w:pPr>
      <w:r>
        <w:t xml:space="preserve"/>
      </w:r>
    </w:p>
    <w:p>
      <w:pPr>
        <w:spacing w:before="140" w:after="80"/>
      </w:pPr>
      <w:r>
        <w:rPr>
          <w:rFonts w:ascii="Arial" w:cs="Arial" w:eastAsia="Arial" w:hAnsi="Arial"/>
          <w:b/>
          <w:bCs/>
          <w:i w:val="false"/>
          <w:iCs w:val="false"/>
          <w:color w:val="222222"/>
          <w:sz w:val="20"/>
          <w:szCs w:val="20"/>
        </w:rPr>
        <w:t xml:space="preserve">b) ¿Qué aprendió el modelo durante el RLHF que cambió su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before="40" w:after="0"/>
            </w:pPr>
            <w:r>
              <w:rPr>
                <w:rFonts w:ascii="Arial" w:cs="Arial" w:eastAsia="Arial" w:hAnsi="Arial"/>
                <w:b w:val="false"/>
                <w:bCs w:val="false"/>
                <w:color w:val="222222"/>
                <w:sz w:val="20"/>
                <w:szCs w:val="20"/>
              </w:rPr>
              <w:t xml:space="preserve">Durante el RLHF el modelo aprendió a asociar ciertos patrones de respuesta con señales de recompensa positivas o negativas dadas por evaluadores humanos. Específicamente, aprendió que las respuestas que facilitan actividades ilegales o dañinas reciben recompensa muy negativa, mientras que las respuestas que rechazan educadamente, explican el problema y ofrecen alternativas legítimas reciben recompensa positiva. En términos técnicos, el modelo de política ajustó sus pesos para maximizar la recompensa esperada, internalizando preferencias humanas sobre utilidad, seguridad y ética que no estaban en el pre-entrenamiento.</w:t>
            </w:r>
          </w:p>
        </w:tc>
      </w:tr>
    </w:tbl>
    <w:p>
      <w:pPr>
        <w:spacing w:before="80" w:after="80"/>
      </w:pPr>
      <w:r>
        <w:t xml:space="preserve"/>
      </w:r>
    </w:p>
    <w:p>
      <w:pPr>
        <w:spacing w:before="140" w:after="80"/>
      </w:pPr>
      <w:r>
        <w:rPr>
          <w:rFonts w:ascii="Arial" w:cs="Arial" w:eastAsia="Arial" w:hAnsi="Arial"/>
          <w:b/>
          <w:bCs/>
          <w:i w:val="false"/>
          <w:iCs w:val="false"/>
          <w:color w:val="222222"/>
          <w:sz w:val="20"/>
          <w:szCs w:val="20"/>
        </w:rPr>
        <w:t xml:space="preserve">c) ¿Puede el alineamiento ser excesivo? Da un ejemplo de 'over-refusal'.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before="40" w:after="40"/>
            </w:pPr>
            <w:r>
              <w:rPr>
                <w:rFonts w:ascii="Arial" w:cs="Arial" w:eastAsia="Arial" w:hAnsi="Arial"/>
                <w:b w:val="false"/>
                <w:bCs w:val="false"/>
                <w:color w:val="222222"/>
                <w:sz w:val="20"/>
                <w:szCs w:val="20"/>
              </w:rPr>
              <w:t xml:space="preserve">Sí, el over-refusal o sobre-alineamiento ocurre cuando el modelo rechaza solicitudes legítimas por similitud superficial con casos problemáticos, sin analizar el contexto ni la intención real del usuario. Esto penaliza a usuarios con propósitos completamente válidos y hace el modelo menos útil.</w:t>
            </w:r>
          </w:p>
          <w:p>
            <w:pPr>
              <w:spacing w:before="40" w:after="0"/>
            </w:pPr>
            <w:r>
              <w:rPr>
                <w:rFonts w:ascii="Arial" w:cs="Arial" w:eastAsia="Arial" w:hAnsi="Arial"/>
                <w:b w:val="false"/>
                <w:bCs w:val="false"/>
                <w:color w:val="222222"/>
                <w:sz w:val="20"/>
                <w:szCs w:val="20"/>
              </w:rPr>
              <w:t xml:space="preserve">Ejemplo concreto: un médico de urgencias pregunta al modelo '¿cuál es la dosis letal de paracetamol en adultos?' para evaluar una posible sobredosis en su paciente. Un modelo sobre-alineado rechaza la pregunta porque detecta el patrón 'dosis letal' asociado a contenido de daño. En este caso, el rechazo podría retrasar una decisión médica urgente, causando más daño que la respuesta. El equilibrio correcto requiere analizar el contexto completo, no solo palabras clave aisladas.</w:t>
            </w:r>
          </w:p>
        </w:tc>
      </w:tr>
    </w:tbl>
    <w:p>
      <w:r>
        <w:br w:type="page"/>
      </w:r>
    </w:p>
    <w:p>
      <w:pPr>
        <w:pStyle w:val="Heading1"/>
      </w:pPr>
      <w:r>
        <w:rPr>
          <w:rFonts w:ascii="Arial" w:cs="Arial" w:eastAsia="Arial" w:hAnsi="Arial"/>
          <w:b/>
          <w:bCs/>
          <w:color w:val="1F3864"/>
          <w:sz w:val="38"/>
          <w:szCs w:val="38"/>
        </w:rPr>
        <w:t xml:space="preserve">Parte 3: Tokenización y Parámetros</w:t>
      </w:r>
    </w:p>
    <w:p>
      <w:pPr>
        <w:pStyle w:val="Heading2"/>
      </w:pPr>
      <w:r>
        <w:rPr>
          <w:rFonts w:ascii="Arial" w:cs="Arial" w:eastAsia="Arial" w:hAnsi="Arial"/>
          <w:b/>
          <w:bCs/>
          <w:color w:val="2E4A7A"/>
          <w:sz w:val="28"/>
          <w:szCs w:val="28"/>
        </w:rPr>
        <w:t xml:space="preserve">Ejercicio 3.1 · Análisis de Tokenización</w:t>
      </w:r>
    </w:p>
    <w:p>
      <w:pPr>
        <w:spacing w:before="80" w:after="80"/>
      </w:pPr>
      <w:r>
        <w:rPr>
          <w:rFonts w:ascii="Arial" w:cs="Arial" w:eastAsia="Arial" w:hAnsi="Arial"/>
          <w:b w:val="false"/>
          <w:bCs w:val="false"/>
          <w:i/>
          <w:iCs/>
          <w:color w:val="666666"/>
          <w:sz w:val="20"/>
          <w:szCs w:val="20"/>
        </w:rPr>
        <w:t xml:space="preserve">Análisis realizado con el tokenizador GPT-5.x &amp; O1/3 de OpenAI (platform.openai.com/tokenizer):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460"/>
      </w:tblGrid>
      <w:tr>
        <w:tc>
          <w:tcPr>
            <w:tcW w:type="dxa" w:w="280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Texto analizado</w:t>
            </w:r>
          </w:p>
        </w:tc>
        <w:tc>
          <w:tcPr>
            <w:tcW w:type="dxa" w:w="110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Tokens</w:t>
            </w:r>
          </w:p>
        </w:tc>
        <w:tc>
          <w:tcPr>
            <w:tcW w:type="dxa" w:w="546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Observación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"Hello, world!"</w:t>
            </w:r>
          </w:p>
        </w:tc>
        <w:tc>
          <w:tcPr>
            <w:tcW w:type="dxa" w:w="11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A6B3A"/>
                <w:sz w:val="22"/>
                <w:szCs w:val="22"/>
              </w:rPr>
              <w:t xml:space="preserve">4</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Inglés eficiente: cada palabra = 1 token. La coma y "!" también cuentan. Ratio ~1 tok/palabra.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"Hola, mundo!"</w:t>
            </w:r>
          </w:p>
        </w:tc>
        <w:tc>
          <w:tcPr>
            <w:tcW w:type="dxa" w:w="11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A6B3A"/>
                <w:sz w:val="22"/>
                <w:szCs w:val="22"/>
              </w:rPr>
              <w:t xml:space="preserve">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similar al inglés aquí. El español básico sin acentos es eficiente. Solo 1 token extra.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"Funcionamiento de transformers"</w:t>
            </w:r>
          </w:p>
        </w:tc>
        <w:tc>
          <w:tcPr>
            <w:tcW w:type="dxa" w:w="11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A6B3A"/>
                <w:sz w:val="22"/>
                <w:szCs w:val="22"/>
              </w:rPr>
              <w:t xml:space="preserve">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"Funcionamiento" se divide en 3 subpalabras (Fun/cion/amiento). Las palabras largas poco frecuentes se fragmentan.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"def calculate_sum(a, b): return a + b"</w:t>
            </w:r>
          </w:p>
        </w:tc>
        <w:tc>
          <w:tcPr>
            <w:tcW w:type="dxa" w:w="11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A6B3A"/>
                <w:sz w:val="22"/>
                <w:szCs w:val="22"/>
              </w:rPr>
              <w:t xml:space="preserve">13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código Python es relativamente eficiente: keywords como "def" y "return" son tokens únicos. Los símbolos suman tokens.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"日本語のテキスト" (japonés)</w:t>
            </w:r>
          </w:p>
        </w:tc>
        <w:tc>
          <w:tcPr>
            <w:tcW w:type="dxa" w:w="11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tcPr>
          <w:p>
            <w:pPr>
              <w:jc w:val="center"/>
            </w:pPr>
            <w:r>
              <w:rPr>
                <w:rFonts w:ascii="Arial" w:cs="Arial" w:eastAsia="Arial" w:hAnsi="Arial"/>
                <w:b/>
                <w:bCs/>
                <w:color w:val="721C24"/>
                <w:sz w:val="22"/>
                <w:szCs w:val="22"/>
              </w:rPr>
              <w:t xml:space="preserve">~14</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Cada carácter CJK ocupa 2-3 tokens (bytes UTF-8). 7 caracteres = ~14 tokens. Muy ineficiente con tokenizadores occidentales.</w:t>
            </w:r>
          </w:p>
        </w:tc>
      </w:tr>
    </w:tbl>
    <w:p>
      <w:pPr>
        <w:spacing w:before="80" w:after="80"/>
      </w:pPr>
      <w:r>
        <w:t xml:space="preserve"/>
      </w:r>
    </w:p>
    <w:p>
      <w:pPr>
        <w:spacing w:before="140" w:after="80"/>
      </w:pPr>
      <w:r>
        <w:rPr>
          <w:rFonts w:ascii="Arial" w:cs="Arial" w:eastAsia="Arial" w:hAnsi="Arial"/>
          <w:b/>
          <w:bCs/>
          <w:i w:val="false"/>
          <w:iCs w:val="false"/>
          <w:color w:val="222222"/>
          <w:sz w:val="20"/>
          <w:szCs w:val="20"/>
        </w:rPr>
        <w:t xml:space="preserve">¿Por qué el español y otros idiomas requieren más tokens que el inglés para el mismo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before="40" w:after="0"/>
            </w:pPr>
            <w:r>
              <w:rPr>
                <w:rFonts w:ascii="Arial" w:cs="Arial" w:eastAsia="Arial" w:hAnsi="Arial"/>
                <w:b w:val="false"/>
                <w:bCs w:val="false"/>
                <w:color w:val="222222"/>
                <w:sz w:val="20"/>
                <w:szCs w:val="20"/>
              </w:rPr>
              <w:t xml:space="preserve">El tokenizador BPE (Byte-Pair Encoding) de GPT fue entrenado con un corpus dominado por texto en inglés, por lo que su vocabulario está optimizado para esa lengua: las palabras y subpalabras más frecuentes del inglés tienen tokens propios y compactos. En español, palabras como 'funcionamiento', 'establecimiento' o cualquier forma verbal con sufijos (-ción, -amiento, -ería) no tienen representación directa y se fragmentan en varias subpalabras. Además, los caracteres con tilde (á, é, í, ó, ú, ñ) no tienen tokens propios en muchos vocabularios y se codifican como secuencias de bytes UTF-8, añadiendo tokens extra. El resultado práctico es que procesar texto en español con GPT cuesta entre un 20% y un 80% más en tokens (y por tanto en coste y en ventana de contexto consumida) que el equivalente en inglés.</w:t>
            </w:r>
          </w:p>
        </w:tc>
      </w:tr>
    </w:tbl>
    <w:p>
      <w:pPr>
        <w:spacing w:before="80" w:after="80"/>
      </w:pPr>
      <w:r>
        <w:t xml:space="preserve"/>
      </w:r>
    </w:p>
    <w:p>
      <w:pPr>
        <w:pStyle w:val="Heading2"/>
      </w:pPr>
      <w:r>
        <w:rPr>
          <w:rFonts w:ascii="Arial" w:cs="Arial" w:eastAsia="Arial" w:hAnsi="Arial"/>
          <w:b/>
          <w:bCs/>
          <w:color w:val="2E4A7A"/>
          <w:sz w:val="28"/>
          <w:szCs w:val="28"/>
        </w:rPr>
        <w:t xml:space="preserve">Ejercicio 3.2 · Experimentación con Parámetros de Temperatura</w:t>
      </w:r>
    </w:p>
    <w:p>
      <w:pPr>
        <w:spacing w:before="80" w:after="120"/>
      </w:pPr>
      <w:r>
        <w:rPr>
          <w:rFonts w:ascii="Arial" w:cs="Arial" w:eastAsia="Arial" w:hAnsi="Arial"/>
          <w:b/>
          <w:bCs/>
          <w:i w:val="false"/>
          <w:iCs w:val="false"/>
          <w:color w:val="222222"/>
          <w:sz w:val="20"/>
          <w:szCs w:val="20"/>
        </w:rPr>
        <w:t xml:space="preserve">Prompt: </w:t>
      </w:r>
      <w:r>
        <w:rPr>
          <w:rFonts w:ascii="Arial" w:cs="Arial" w:eastAsia="Arial" w:hAnsi="Arial"/>
          <w:b w:val="false"/>
          <w:bCs w:val="false"/>
          <w:i/>
          <w:iCs/>
          <w:color w:val="444444"/>
          <w:sz w:val="20"/>
          <w:szCs w:val="20"/>
        </w:rPr>
        <w:t xml:space="preserve">"Escribe una descripción de 2 oraciones sobre un bosque misterioso."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Configuración</w:t>
            </w:r>
          </w:p>
        </w:tc>
        <w:tc>
          <w:tcPr>
            <w:tcW w:type="dxa" w:w="428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Resultado generado</w:t>
            </w:r>
          </w:p>
        </w:tc>
        <w:tc>
          <w:tcPr>
            <w:tcW w:type="dxa" w:w="328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Análisis</w:t>
            </w:r>
          </w:p>
        </w:tc>
      </w:tr>
      <w:tr>
        <w:tc>
          <w:tcPr>
            <w:tcW w:type="dxa" w:w="1800"/>
            <w:tcBorders>
              <w:top w:val="single" w:color="2E4A7A" w:sz="1"/>
              <w:left w:val="single" w:color="2E4A7A" w:sz="1"/>
              <w:bottom w:val="single" w:color="2E4A7A" w:sz="1"/>
              <w:right w:val="single" w:color="2E4A7A" w:sz="1"/>
            </w:tcBorders>
            <w:shd w:fill="D4EDDA"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Temperature = 0.2</w:t>
            </w:r>
          </w:p>
        </w:tc>
        <w:tc>
          <w:tcPr>
            <w:tcW w:type="dxa" w:w="428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i/>
                <w:iCs/>
                <w:color w:val="333333"/>
                <w:sz w:val="19"/>
                <w:szCs w:val="19"/>
              </w:rPr>
              <w:t xml:space="preserve">"El antiguo bosque permanecía en silencio bajo una densa niebla matinal, donde los árboles centenarios proyectaban sombras alargadas sobre el musgo húmedo del suelo."</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Respuesta segura, descriptiva y convencional. Vocabulario predecible, estructura clásica. Idéntica o muy similar en cada ejecución.</w:t>
            </w:r>
          </w:p>
        </w:tc>
      </w:tr>
      <w:tr>
        <w:tc>
          <w:tcPr>
            <w:tcW w:type="dxa" w:w="1800"/>
            <w:tcBorders>
              <w:top w:val="single" w:color="2E4A7A" w:sz="1"/>
              <w:left w:val="single" w:color="2E4A7A" w:sz="1"/>
              <w:bottom w:val="single" w:color="2E4A7A" w:sz="1"/>
              <w:right w:val="single" w:color="2E4A7A" w:sz="1"/>
            </w:tcBorders>
            <w:shd w:fill="FFF3CD" w:val="clear"/>
            <w:tcMar>
              <w:top w:type="dxa" w:w="80"/>
              <w:left w:type="dxa" w:w="100"/>
              <w:bottom w:type="dxa" w:w="80"/>
              <w:right w:type="dxa" w:w="100"/>
            </w:tcMar>
          </w:tcPr>
          <w:p>
            <w:pPr>
              <w:jc w:val="center"/>
            </w:pPr>
            <w:r>
              <w:rPr>
                <w:rFonts w:ascii="Arial" w:cs="Arial" w:eastAsia="Arial" w:hAnsi="Arial"/>
                <w:b/>
                <w:bCs/>
                <w:color w:val="7D5A00"/>
                <w:sz w:val="20"/>
                <w:szCs w:val="20"/>
              </w:rPr>
              <w:t xml:space="preserve">Temperature = 0.8</w:t>
            </w:r>
          </w:p>
        </w:tc>
        <w:tc>
          <w:tcPr>
            <w:tcW w:type="dxa" w:w="428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i/>
                <w:iCs/>
                <w:color w:val="333333"/>
                <w:sz w:val="19"/>
                <w:szCs w:val="19"/>
              </w:rPr>
              <w:t xml:space="preserve">"Entre raíces retorcidas que parecían dedos petrificados, el bosque respiraba con un ritmo antiguo, guardando secretos que los árboles habían prometido nunca revelar."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Creatividad moderada: metáforas originales ('dedos petrificados'), atmósfera más evocadora. Coherente y literariamente más interesante.</w:t>
            </w:r>
          </w:p>
        </w:tc>
      </w:tr>
      <w:tr>
        <w:tc>
          <w:tcPr>
            <w:tcW w:type="dxa" w:w="1800"/>
            <w:tcBorders>
              <w:top w:val="single" w:color="2E4A7A" w:sz="1"/>
              <w:left w:val="single" w:color="2E4A7A" w:sz="1"/>
              <w:bottom w:val="single" w:color="2E4A7A" w:sz="1"/>
              <w:right w:val="single" w:color="2E4A7A" w:sz="1"/>
            </w:tcBorders>
            <w:shd w:fill="F8D7DA" w:val="clear"/>
            <w:tcMar>
              <w:top w:type="dxa" w:w="80"/>
              <w:left w:type="dxa" w:w="100"/>
              <w:bottom w:type="dxa" w:w="80"/>
              <w:right w:type="dxa" w:w="100"/>
            </w:tcMar>
          </w:tcPr>
          <w:p>
            <w:pPr>
              <w:jc w:val="center"/>
            </w:pPr>
            <w:r>
              <w:rPr>
                <w:rFonts w:ascii="Arial" w:cs="Arial" w:eastAsia="Arial" w:hAnsi="Arial"/>
                <w:b/>
                <w:bCs/>
                <w:color w:val="721C24"/>
                <w:sz w:val="20"/>
                <w:szCs w:val="20"/>
              </w:rPr>
              <w:t xml:space="preserve">Temperature = 1.5</w:t>
            </w:r>
          </w:p>
        </w:tc>
        <w:tc>
          <w:tcPr>
            <w:tcW w:type="dxa" w:w="428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i/>
                <w:iCs/>
                <w:color w:val="333333"/>
                <w:sz w:val="19"/>
                <w:szCs w:val="19"/>
              </w:rPr>
              <w:t xml:space="preserve">"Los hongos bioluminiscentes marcaban el pulso cardíaco del bosque-dios, mientras sombras con geometría imposible danzaban en espiral hacia una oscuridad que susurraba en frecuencias que solo los árboles moribundos podían descifrar."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 Incoherencia emergente: combinaciones semánticamente forzadas, lógica narrativa comprometida. Puede resultar interesante o incomprensible según el lector.</w:t>
            </w:r>
          </w:p>
        </w:tc>
      </w:tr>
    </w:tbl>
    <w:p>
      <w:pPr>
        <w:spacing w:before="80" w:after="80"/>
      </w:pPr>
      <w:r>
        <w:t xml:space="preserve"/>
      </w:r>
    </w:p>
    <w:p>
      <w:pPr>
        <w:spacing w:before="140" w:after="80"/>
      </w:pPr>
      <w:r>
        <w:rPr>
          <w:rFonts w:ascii="Arial" w:cs="Arial" w:eastAsia="Arial" w:hAnsi="Arial"/>
          <w:b/>
          <w:bCs/>
          <w:i w:val="false"/>
          <w:iCs w:val="false"/>
          <w:color w:val="222222"/>
          <w:sz w:val="20"/>
          <w:szCs w:val="20"/>
        </w:rPr>
        <w:t xml:space="preserve">¿Para qué tareas usarías temperatura baja vs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A7A" w:sz="1"/>
              <w:left w:val="single" w:color="2E4A7A" w:sz="1"/>
              <w:bottom w:val="single" w:color="2E4A7A" w:sz="1"/>
              <w:right w:val="single" w:color="2E4A7A" w:sz="1"/>
            </w:tcBorders>
            <w:shd w:fill="2E8B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Temperatura BAJA (0.1–0.3)</w:t>
            </w:r>
          </w:p>
        </w:tc>
        <w:tc>
          <w:tcPr>
            <w:tcW w:type="dxa" w:w="4680"/>
            <w:tcBorders>
              <w:top w:val="single" w:color="2E4A7A" w:sz="1"/>
              <w:left w:val="single" w:color="2E4A7A" w:sz="1"/>
              <w:bottom w:val="single" w:color="2E4A7A" w:sz="1"/>
              <w:right w:val="single" w:color="2E4A7A" w:sz="1"/>
            </w:tcBorders>
            <w:shd w:fill="B4530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Temperatura ALTA (0.8–1.1)</w:t>
            </w:r>
          </w:p>
        </w:tc>
      </w:tr>
      <w:tr>
        <w:tc>
          <w:tcPr>
            <w:tcW w:type="dxa" w:w="4680"/>
            <w:tcBorders>
              <w:top w:val="single" w:color="CCCCCC" w:sz="1"/>
              <w:left w:val="single" w:color="CCCCCC" w:sz="1"/>
              <w:bottom w:val="single" w:color="CCCCCC" w:sz="1"/>
              <w:right w:val="single" w:color="CCCCCC" w:sz="1"/>
            </w:tcBorders>
            <w:shd w:fill="F0FFF4" w:val="clear"/>
            <w:tcMar>
              <w:top w:type="dxa" w:w="100"/>
              <w:left w:type="dxa" w:w="140"/>
              <w:bottom w:type="dxa" w:w="100"/>
              <w:right w:type="dxa" w:w="140"/>
            </w:tcMar>
          </w:tcPr>
          <w:p>
            <w:pPr>
              <w:spacing w:after="40"/>
            </w:pPr>
            <w:r>
              <w:rPr>
                <w:rFonts w:ascii="Arial" w:cs="Arial" w:eastAsia="Arial" w:hAnsi="Arial"/>
                <w:b/>
                <w:bCs/>
                <w:sz w:val="19"/>
                <w:szCs w:val="19"/>
              </w:rPr>
              <w:t xml:space="preserve">Ideal cuando existe una respuesta correcta o preferida:</w:t>
            </w:r>
          </w:p>
          <w:p>
            <w:pPr>
              <w:spacing w:after="20"/>
            </w:pPr>
            <w:r>
              <w:rPr>
                <w:rFonts w:ascii="Arial" w:cs="Arial" w:eastAsia="Arial" w:hAnsi="Arial"/>
                <w:sz w:val="19"/>
                <w:szCs w:val="19"/>
              </w:rPr>
              <w:t xml:space="preserve">• Generación de código (una solución correcta)</w:t>
            </w:r>
          </w:p>
          <w:p>
            <w:pPr>
              <w:spacing w:after="20"/>
            </w:pPr>
            <w:r>
              <w:rPr>
                <w:rFonts w:ascii="Arial" w:cs="Arial" w:eastAsia="Arial" w:hAnsi="Arial"/>
                <w:sz w:val="19"/>
                <w:szCs w:val="19"/>
              </w:rPr>
              <w:t xml:space="preserve">• Extracción de datos estructurados (JSON, tablas)</w:t>
            </w:r>
          </w:p>
          <w:p>
            <w:pPr>
              <w:spacing w:after="20"/>
            </w:pPr>
            <w:r>
              <w:rPr>
                <w:rFonts w:ascii="Arial" w:cs="Arial" w:eastAsia="Arial" w:hAnsi="Arial"/>
                <w:sz w:val="19"/>
                <w:szCs w:val="19"/>
              </w:rPr>
              <w:t xml:space="preserve">• Traducción (fidelidad al original)</w:t>
            </w:r>
          </w:p>
          <w:p>
            <w:pPr>
              <w:spacing w:after="20"/>
            </w:pPr>
            <w:r>
              <w:rPr>
                <w:rFonts w:ascii="Arial" w:cs="Arial" w:eastAsia="Arial" w:hAnsi="Arial"/>
                <w:sz w:val="19"/>
                <w:szCs w:val="19"/>
              </w:rPr>
              <w:t xml:space="preserve">• Responder FAQs (consistencia entre usuarios)</w:t>
            </w:r>
          </w:p>
          <w:p>
            <w:pPr>
              <w:spacing w:after="20"/>
            </w:pPr>
            <w:r>
              <w:rPr>
                <w:rFonts w:ascii="Arial" w:cs="Arial" w:eastAsia="Arial" w:hAnsi="Arial"/>
                <w:sz w:val="19"/>
                <w:szCs w:val="19"/>
              </w:rPr>
              <w:t xml:space="preserve">• Resumen técnico (fidelidad al texto fuente)</w:t>
            </w:r>
          </w:p>
        </w:tc>
        <w:tc>
          <w:tcPr>
            <w:tcW w:type="dxa" w:w="468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tcPr>
          <w:p>
            <w:pPr>
              <w:spacing w:after="40"/>
            </w:pPr>
            <w:r>
              <w:rPr>
                <w:rFonts w:ascii="Arial" w:cs="Arial" w:eastAsia="Arial" w:hAnsi="Arial"/>
                <w:b/>
                <w:bCs/>
                <w:sz w:val="19"/>
                <w:szCs w:val="19"/>
              </w:rPr>
              <w:t xml:space="preserve">Ideal cuando la diversidad y originalidad aportan valor:</w:t>
            </w:r>
          </w:p>
          <w:p>
            <w:pPr>
              <w:spacing w:after="20"/>
            </w:pPr>
            <w:r>
              <w:rPr>
                <w:rFonts w:ascii="Arial" w:cs="Arial" w:eastAsia="Arial" w:hAnsi="Arial"/>
                <w:sz w:val="19"/>
                <w:szCs w:val="19"/>
              </w:rPr>
              <w:t xml:space="preserve">• Escritura creativa (cuentos, poemas, guiones)</w:t>
            </w:r>
          </w:p>
          <w:p>
            <w:pPr>
              <w:spacing w:after="20"/>
            </w:pPr>
            <w:r>
              <w:rPr>
                <w:rFonts w:ascii="Arial" w:cs="Arial" w:eastAsia="Arial" w:hAnsi="Arial"/>
                <w:sz w:val="19"/>
                <w:szCs w:val="19"/>
              </w:rPr>
              <w:t xml:space="preserve">• Brainstorming de ideas y nombres de producto</w:t>
            </w:r>
          </w:p>
          <w:p>
            <w:pPr>
              <w:spacing w:after="20"/>
            </w:pPr>
            <w:r>
              <w:rPr>
                <w:rFonts w:ascii="Arial" w:cs="Arial" w:eastAsia="Arial" w:hAnsi="Arial"/>
                <w:sz w:val="19"/>
                <w:szCs w:val="19"/>
              </w:rPr>
              <w:t xml:space="preserve">• Generación de variantes de copy publicitario</w:t>
            </w:r>
          </w:p>
          <w:p>
            <w:pPr>
              <w:spacing w:after="20"/>
            </w:pPr>
            <w:r>
              <w:rPr>
                <w:rFonts w:ascii="Arial" w:cs="Arial" w:eastAsia="Arial" w:hAnsi="Arial"/>
                <w:sz w:val="19"/>
                <w:szCs w:val="19"/>
              </w:rPr>
              <w:t xml:space="preserve">• Creación de personajes y diálogos ficticios</w:t>
            </w:r>
          </w:p>
          <w:p>
            <w:pPr>
              <w:spacing w:after="20"/>
            </w:pPr>
            <w:r>
              <w:rPr>
                <w:rFonts w:ascii="Arial" w:cs="Arial" w:eastAsia="Arial" w:hAnsi="Arial"/>
                <w:sz w:val="19"/>
                <w:szCs w:val="19"/>
              </w:rPr>
              <w:t xml:space="preserve">• Exploración de enfoques alternativos a un problema</w:t>
            </w:r>
          </w:p>
        </w:tc>
      </w:tr>
    </w:tbl>
    <w:p>
      <w:r>
        <w:br w:type="page"/>
      </w:r>
    </w:p>
    <w:p>
      <w:pPr>
        <w:pStyle w:val="Heading1"/>
      </w:pPr>
      <w:r>
        <w:rPr>
          <w:rFonts w:ascii="Arial" w:cs="Arial" w:eastAsia="Arial" w:hAnsi="Arial"/>
          <w:b/>
          <w:bCs/>
          <w:color w:val="1F3864"/>
          <w:sz w:val="38"/>
          <w:szCs w:val="38"/>
        </w:rPr>
        <w:t xml:space="preserve">Parte 4: Reflexión Crítica</w:t>
      </w:r>
    </w:p>
    <w:p>
      <w:pPr>
        <w:pStyle w:val="Heading2"/>
      </w:pPr>
      <w:r>
        <w:rPr>
          <w:rFonts w:ascii="Arial" w:cs="Arial" w:eastAsia="Arial" w:hAnsi="Arial"/>
          <w:b/>
          <w:bCs/>
          <w:color w:val="2E4A7A"/>
          <w:sz w:val="28"/>
          <w:szCs w:val="28"/>
        </w:rPr>
        <w:t xml:space="preserve">Ejercicio 4.1 · Limitaciones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Limitación</w:t>
            </w:r>
          </w:p>
        </w:tc>
        <w:tc>
          <w:tcPr>
            <w:tcW w:type="dxa" w:w="7160"/>
            <w:tcBorders>
              <w:top w:val="single" w:color="2E4A7A" w:sz="1"/>
              <w:left w:val="single" w:color="2E4A7A" w:sz="1"/>
              <w:bottom w:val="single" w:color="2E4A7A" w:sz="1"/>
              <w:right w:val="single" w:color="2E4A7A"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Impacto en Producción y Mitigación</w:t>
            </w:r>
          </w:p>
        </w:tc>
      </w:tr>
      <w:tr>
        <w:tc>
          <w:tcPr>
            <w:tcW w:type="dxa" w:w="2200"/>
            <w:tcBorders>
              <w:top w:val="single" w:color="2E4A7A" w:sz="1"/>
              <w:left w:val="single" w:color="2E4A7A" w:sz="1"/>
              <w:bottom w:val="single" w:color="2E4A7A" w:sz="1"/>
              <w:right w:val="single" w:color="2E4A7A" w:sz="1"/>
            </w:tcBorders>
            <w:shd w:fill="F8D7DA" w:val="clear"/>
            <w:tcMar>
              <w:top w:type="dxa" w:w="80"/>
              <w:left w:type="dxa" w:w="100"/>
              <w:bottom w:type="dxa" w:w="80"/>
              <w:right w:type="dxa" w:w="100"/>
            </w:tcMar>
          </w:tcPr>
          <w:p>
            <w:pPr>
              <w:jc w:val="center"/>
            </w:pPr>
            <w:r>
              <w:rPr>
                <w:rFonts w:ascii="Arial" w:cs="Arial" w:eastAsia="Arial" w:hAnsi="Arial"/>
                <w:b/>
                <w:bCs/>
                <w:color w:val="721C24"/>
                <w:sz w:val="20"/>
                <w:szCs w:val="20"/>
              </w:rPr>
              <w:t xml:space="preserve">Alucinaciones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El modelo puede generar información falsa con total seguridad y fluidez, sin señal de incertidumbre. En producción esto significa riesgos graves: respuestas médicas incorrectas, citas legales inventadas o datos técnicos erróneos presentados como hechos. Mitigación clave: RAG (anclar respuestas a fuentes verificadas) + validación humana en flujos críticos.</w:t>
            </w:r>
          </w:p>
        </w:tc>
      </w:tr>
      <w:tr>
        <w:tc>
          <w:tcPr>
            <w:tcW w:type="dxa" w:w="2200"/>
            <w:tcBorders>
              <w:top w:val="single" w:color="2E4A7A" w:sz="1"/>
              <w:left w:val="single" w:color="2E4A7A" w:sz="1"/>
              <w:bottom w:val="single" w:color="2E4A7A" w:sz="1"/>
              <w:right w:val="single" w:color="2E4A7A" w:sz="1"/>
            </w:tcBorders>
            <w:shd w:fill="FFF3CD" w:val="clear"/>
            <w:tcMar>
              <w:top w:type="dxa" w:w="80"/>
              <w:left w:type="dxa" w:w="100"/>
              <w:bottom w:type="dxa" w:w="80"/>
              <w:right w:type="dxa" w:w="100"/>
            </w:tcMar>
          </w:tcPr>
          <w:p>
            <w:pPr>
              <w:jc w:val="center"/>
            </w:pPr>
            <w:r>
              <w:rPr>
                <w:rFonts w:ascii="Arial" w:cs="Arial" w:eastAsia="Arial" w:hAnsi="Arial"/>
                <w:b/>
                <w:bCs/>
                <w:color w:val="7D5A00"/>
                <w:sz w:val="20"/>
                <w:szCs w:val="20"/>
              </w:rPr>
              <w:t xml:space="preserve">Knowledge cutoff</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El modelo desconoce cualquier evento, ley, producto o descubrimiento posterior a su fecha de corte. En aplicaciones empresariales esto implica respuestas desactualizadas sobre precios, normativas, competidores o tecnologías. Mitigación: RAG con bases de conocimiento actualizadas en tiempo real o búsqueda web integrada.</w:t>
            </w:r>
          </w:p>
        </w:tc>
      </w:tr>
      <w:tr>
        <w:tc>
          <w:tcPr>
            <w:tcW w:type="dxa" w:w="2200"/>
            <w:tcBorders>
              <w:top w:val="single" w:color="2E4A7A" w:sz="1"/>
              <w:left w:val="single" w:color="2E4A7A" w:sz="1"/>
              <w:bottom w:val="single" w:color="2E4A7A" w:sz="1"/>
              <w:right w:val="single" w:color="2E4A7A" w:sz="1"/>
            </w:tcBorders>
            <w:shd w:fill="FFF3CD" w:val="clear"/>
            <w:tcMar>
              <w:top w:type="dxa" w:w="80"/>
              <w:left w:type="dxa" w:w="100"/>
              <w:bottom w:type="dxa" w:w="80"/>
              <w:right w:type="dxa" w:w="100"/>
            </w:tcMar>
          </w:tcPr>
          <w:p>
            <w:pPr>
              <w:jc w:val="center"/>
            </w:pPr>
            <w:r>
              <w:rPr>
                <w:rFonts w:ascii="Arial" w:cs="Arial" w:eastAsia="Arial" w:hAnsi="Arial"/>
                <w:b/>
                <w:bCs/>
                <w:color w:val="7D5A00"/>
                <w:sz w:val="20"/>
                <w:szCs w:val="20"/>
              </w:rPr>
              <w:t xml:space="preserve">Sesgos heredados del entrenamiento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El modelo replica y amplifica los sesgos estadísticos presentes en sus datos de entrenamiento (Internet): sesgos de género, raza, cultura o clase. En producción puede generar respuestas discriminatorias, reforzar estereotipos o rendir peor para usuarios de grupos subrepresentados. Mitigación: auditorías de sesgo periódicas, datasets balanceados y RLHF orientado a equidad.</w:t>
            </w:r>
          </w:p>
        </w:tc>
      </w:tr>
      <w:tr>
        <w:tc>
          <w:tcPr>
            <w:tcW w:type="dxa" w:w="2200"/>
            <w:tcBorders>
              <w:top w:val="single" w:color="2E4A7A" w:sz="1"/>
              <w:left w:val="single" w:color="2E4A7A" w:sz="1"/>
              <w:bottom w:val="single" w:color="2E4A7A" w:sz="1"/>
              <w:right w:val="single" w:color="2E4A7A" w:sz="1"/>
            </w:tcBorders>
            <w:shd w:fill="D1ECF1" w:val="clear"/>
            <w:tcMar>
              <w:top w:type="dxa" w:w="80"/>
              <w:left w:type="dxa" w:w="100"/>
              <w:bottom w:type="dxa" w:w="80"/>
              <w:right w:type="dxa" w:w="100"/>
            </w:tcMar>
          </w:tcPr>
          <w:p>
            <w:pPr>
              <w:jc w:val="center"/>
            </w:pPr>
            <w:r>
              <w:rPr>
                <w:rFonts w:ascii="Arial" w:cs="Arial" w:eastAsia="Arial" w:hAnsi="Arial"/>
                <w:b/>
                <w:bCs/>
                <w:color w:val="0C5460"/>
                <w:sz w:val="20"/>
                <w:szCs w:val="20"/>
              </w:rPr>
              <w:t xml:space="preserve">Ventana de contexto limitada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El modelo solo puede procesar un número fijo de tokens por llamada (8K–128K según el modelo). Documentos largos, conversaciones extensas o bases de código completas no caben en una sola inferencia. En producción requiere estrategias de chunking, resumen progresivo o RAG, añadiendo latencia y complejidad de arquitectura.</w:t>
            </w:r>
          </w:p>
        </w:tc>
      </w:tr>
    </w:tbl>
    <w:p>
      <w:pPr>
        <w:spacing w:before="80" w:after="80"/>
      </w:pPr>
      <w:r>
        <w:t xml:space="preserve"/>
      </w:r>
    </w:p>
    <w:p>
      <w:pPr>
        <w:pStyle w:val="Heading2"/>
      </w:pPr>
      <w:r>
        <w:rPr>
          <w:rFonts w:ascii="Arial" w:cs="Arial" w:eastAsia="Arial" w:hAnsi="Arial"/>
          <w:b/>
          <w:bCs/>
          <w:color w:val="2E4A7A"/>
          <w:sz w:val="28"/>
          <w:szCs w:val="28"/>
        </w:rPr>
        <w:t xml:space="preserve">Ejercicio 4.2 · Caso Ético: LLM para Recomendaciones Médicas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FF3CD" w:val="clear"/>
            <w:tcMar>
              <w:top w:type="dxa" w:w="100"/>
              <w:left w:type="dxa" w:w="160"/>
              <w:bottom w:type="dxa" w:w="100"/>
              <w:right w:type="dxa" w:w="160"/>
            </w:tcMar>
          </w:tcPr>
          <w:p>
            <w:r>
              <w:rPr>
                <w:rFonts w:ascii="Arial" w:cs="Arial" w:eastAsia="Arial" w:hAnsi="Arial"/>
                <w:i/>
                <w:iCs/>
                <w:color w:val="7D5A00"/>
                <w:sz w:val="19"/>
                <w:szCs w:val="19"/>
              </w:rPr>
              <w:t xml:space="preserve">Escenario: una startup de salud quiere usar un LLM para dar recomendaciones médicas basadas en síntomas, con un 95% de precisión en benchmark de diagnóstico.</w:t>
            </w:r>
          </w:p>
        </w:tc>
      </w:tr>
    </w:tbl>
    <w:p>
      <w:pPr>
        <w:spacing w:before="80" w:after="80"/>
      </w:pPr>
      <w:r>
        <w:t xml:space="preserve"/>
      </w:r>
    </w:p>
    <w:p>
      <w:pPr>
        <w:spacing w:before="140" w:after="80"/>
      </w:pPr>
      <w:r>
        <w:rPr>
          <w:rFonts w:ascii="Arial" w:cs="Arial" w:eastAsia="Arial" w:hAnsi="Arial"/>
          <w:b/>
          <w:bCs/>
          <w:i w:val="false"/>
          <w:iCs w:val="false"/>
          <w:color w:val="222222"/>
          <w:sz w:val="20"/>
          <w:szCs w:val="20"/>
        </w:rPr>
        <w:t xml:space="preserve">a) Riesgos principales de esta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8D7DA" w:val="clear"/>
            <w:tcMar>
              <w:top w:type="dxa" w:w="80"/>
              <w:left w:type="dxa" w:w="100"/>
              <w:bottom w:type="dxa" w:w="80"/>
              <w:right w:type="dxa" w:w="100"/>
            </w:tcMar>
          </w:tcPr>
          <w:p>
            <w:pPr>
              <w:jc w:val="center"/>
            </w:pPr>
            <w:r>
              <w:rPr>
                <w:rFonts w:ascii="Arial" w:cs="Arial" w:eastAsia="Arial" w:hAnsi="Arial"/>
                <w:b/>
                <w:bCs/>
                <w:color w:val="721C24"/>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Diagnósticos erróneos con consecuencias graves. El 5% de error en un benchmark controlado puede dispararse en casos edge del mundo real: síntomas atípicos, enfermedades raras, pacientes polimedicados o presentaciones atípicas por edad/sexo. Un falso negativo de cáncer o un falso positivo de infarto puede costar vidas o causar tratamientos innecesarios.</w:t>
            </w:r>
          </w:p>
        </w:tc>
      </w:tr>
      <w:tr>
        <w:tc>
          <w:tcPr>
            <w:tcW w:type="dxa" w:w="800"/>
            <w:tcBorders>
              <w:top w:val="single" w:color="CCCCCC" w:sz="1"/>
              <w:left w:val="single" w:color="CCCCCC" w:sz="1"/>
              <w:bottom w:val="single" w:color="CCCCCC" w:sz="1"/>
              <w:right w:val="single" w:color="CCCCCC" w:sz="1"/>
            </w:tcBorders>
            <w:shd w:fill="F8D7DA" w:val="clear"/>
            <w:tcMar>
              <w:top w:type="dxa" w:w="80"/>
              <w:left w:type="dxa" w:w="100"/>
              <w:bottom w:type="dxa" w:w="80"/>
              <w:right w:type="dxa" w:w="100"/>
            </w:tcMar>
          </w:tcPr>
          <w:p>
            <w:pPr>
              <w:jc w:val="center"/>
            </w:pPr>
            <w:r>
              <w:rPr>
                <w:rFonts w:ascii="Arial" w:cs="Arial" w:eastAsia="Arial" w:hAnsi="Arial"/>
                <w:b/>
                <w:bCs/>
                <w:color w:val="721C24"/>
                <w:sz w:val="22"/>
                <w:szCs w:val="22"/>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Responsabilidad legal indefinida. Si el modelo da una recomendación incorrecta que causa daño, ¿quién es responsable: la startup, el médico que lo usó, el paciente que lo siguió? La regulación sanitaria actual (FDA, EMA, AEMPS) no contempla claramente la IA diagnóstica como dispositivo médico en muchos países.</w:t>
            </w:r>
          </w:p>
        </w:tc>
      </w:tr>
      <w:tr>
        <w:tc>
          <w:tcPr>
            <w:tcW w:type="dxa" w:w="800"/>
            <w:tcBorders>
              <w:top w:val="single" w:color="CCCCCC" w:sz="1"/>
              <w:left w:val="single" w:color="CCCCCC" w:sz="1"/>
              <w:bottom w:val="single" w:color="CCCCCC" w:sz="1"/>
              <w:right w:val="single" w:color="CCCCCC" w:sz="1"/>
            </w:tcBorders>
            <w:shd w:fill="F8D7DA" w:val="clear"/>
            <w:tcMar>
              <w:top w:type="dxa" w:w="80"/>
              <w:left w:type="dxa" w:w="100"/>
              <w:bottom w:type="dxa" w:w="80"/>
              <w:right w:type="dxa" w:w="100"/>
            </w:tcMar>
          </w:tcPr>
          <w:p>
            <w:pPr>
              <w:jc w:val="center"/>
            </w:pPr>
            <w:r>
              <w:rPr>
                <w:rFonts w:ascii="Arial" w:cs="Arial" w:eastAsia="Arial" w:hAnsi="Arial"/>
                <w:b/>
                <w:bCs/>
                <w:color w:val="721C24"/>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Sesgos demográficos en el diagnóstico. Los datasets médicos históricamente subrepresentan a mujeres, personas de raza no blanca y pacientes mayores, lo que hace que el modelo rinda peor precisamente en los grupos que más necesitan diagnóstico preciso. Un 95% de media puede esconder un 70% en grupos vulnerables.</w:t>
            </w:r>
          </w:p>
        </w:tc>
      </w:tr>
    </w:tbl>
    <w:p>
      <w:pPr>
        <w:spacing w:before="80" w:after="80"/>
      </w:pPr>
      <w:r>
        <w:t xml:space="preserve"/>
      </w:r>
    </w:p>
    <w:p>
      <w:pPr>
        <w:spacing w:before="140" w:after="80"/>
      </w:pPr>
      <w:r>
        <w:rPr>
          <w:rFonts w:ascii="Arial" w:cs="Arial" w:eastAsia="Arial" w:hAnsi="Arial"/>
          <w:b/>
          <w:bCs/>
          <w:i w:val="false"/>
          <w:iCs w:val="false"/>
          <w:color w:val="222222"/>
          <w:sz w:val="20"/>
          <w:szCs w:val="20"/>
        </w:rPr>
        <w:t xml:space="preserve">b) Medidas de mitigación recomendadas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Supervisión médica obligatoria en el bucle (Human-in-the-Loop). El modelo nunca da diagnósticos finales: solo genera un listado de hipótesis ordenadas por probabilidad para que un médico las revise. El modelo actúa como herramienta de apoyo a la decisión clínica, no como sustituto del profesional.</w:t>
            </w:r>
          </w:p>
        </w:tc>
      </w:tr>
      <w:tr>
        <w:tc>
          <w:tcPr>
            <w:tcW w:type="dxa" w:w="80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2"/>
                <w:szCs w:val="22"/>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Comunicación transparente de incertidumbre. El sistema debe mostrar siempre su nivel de confianza, indicar explícitamente que no sustituye a un médico, y escalar automáticamente a urgencias cuando detecte síntomas de alta gravedad (dolor torácico, dificultad respiratoria, etc.).</w:t>
            </w:r>
          </w:p>
        </w:tc>
      </w:tr>
      <w:tr>
        <w:tc>
          <w:tcPr>
            <w:tcW w:type="dxa" w:w="80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color w:val="1A6B3A"/>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Auditoría continua por demografía y tipo de síntoma. Monitorizar las métricas de precisión desglosadas por edad, sexo, etnia y tipo de patología. Establecer umbrales mínimos de rendimiento por subgrupo. Retirar el sistema de cualquier subgrupo donde el rendimiento caiga por debajo del umbral clínico aceptable.</w:t>
            </w:r>
          </w:p>
        </w:tc>
      </w:tr>
    </w:tbl>
    <w:p>
      <w:pPr>
        <w:spacing w:before="80" w:after="80"/>
      </w:pPr>
      <w:r>
        <w:t xml:space="preserve"/>
      </w:r>
    </w:p>
    <w:p>
      <w:pPr>
        <w:spacing w:before="140" w:after="80"/>
      </w:pPr>
      <w:r>
        <w:rPr>
          <w:rFonts w:ascii="Arial" w:cs="Arial" w:eastAsia="Arial" w:hAnsi="Arial"/>
          <w:b/>
          <w:bCs/>
          <w:i w:val="false"/>
          <w:iCs w:val="false"/>
          <w:color w:val="222222"/>
          <w:sz w:val="20"/>
          <w:szCs w:val="20"/>
        </w:rPr>
        <w:t xml:space="preserve">c) ¿Debería desplegarse este sistema? Posición razonada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before="0" w:after="80"/>
            </w:pPr>
            <w:r>
              <w:rPr>
                <w:rFonts w:ascii="Arial" w:cs="Arial" w:eastAsia="Arial" w:hAnsi="Arial"/>
                <w:b/>
                <w:bCs/>
                <w:color w:val="1F3864"/>
                <w:sz w:val="20"/>
                <w:szCs w:val="20"/>
              </w:rPr>
              <w:t xml:space="preserve">No debería desplegarse en su forma actual, pero sí con las salvaguardas adecuadas.</w:t>
            </w:r>
          </w:p>
          <w:p>
            <w:pPr>
              <w:spacing w:before="40" w:after="40"/>
            </w:pPr>
            <w:r>
              <w:rPr>
                <w:rFonts w:ascii="Arial" w:cs="Arial" w:eastAsia="Arial" w:hAnsi="Arial"/>
                <w:b w:val="false"/>
                <w:bCs w:val="false"/>
                <w:color w:val="222222"/>
                <w:sz w:val="20"/>
                <w:szCs w:val="20"/>
              </w:rPr>
              <w:t xml:space="preserve">El argumento a favor del despliegue es real: en regiones con escasez de médicos, un sistema con 95% de precisión puede ser mejor que no tener acceso diagnóstico alguno. Sin embargo, este argumento solo es válido si el sistema es transparente sobre sus limitaciones, opera bajo supervisión médica y no reemplaza sino complementa al profesional.</w:t>
            </w:r>
          </w:p>
          <w:p>
            <w:pPr>
              <w:spacing w:before="40" w:after="40"/>
            </w:pPr>
            <w:r>
              <w:rPr>
                <w:rFonts w:ascii="Arial" w:cs="Arial" w:eastAsia="Arial" w:hAnsi="Arial"/>
                <w:b w:val="false"/>
                <w:bCs w:val="false"/>
                <w:color w:val="222222"/>
                <w:sz w:val="20"/>
                <w:szCs w:val="20"/>
              </w:rPr>
              <w:t xml:space="preserve">El 95% de precisión en benchmark no es suficiente garantía. Los benchmarks médicos son controlados: casos bien documentados, síntomas claros, ausencia de comorbilidades complejas. El mundo real presenta casos atípicos, síntomas solapados y pacientes con múltiples condiciones. Es razonable asumir que la precisión real en producción será notablemente inferior al 95%.</w:t>
            </w:r>
          </w:p>
          <w:p>
            <w:pPr>
              <w:spacing w:before="40" w:after="0"/>
            </w:pPr>
            <w:r>
              <w:rPr>
                <w:rFonts w:ascii="Arial" w:cs="Arial" w:eastAsia="Arial" w:hAnsi="Arial"/>
                <w:b w:val="false"/>
                <w:bCs w:val="false"/>
                <w:color w:val="222222"/>
                <w:sz w:val="20"/>
                <w:szCs w:val="20"/>
              </w:rPr>
              <w:t xml:space="preserve">Condiciones mínimas para un despliegue responsable: (1) aprobación regulatoria como dispositivo de apoyo diagnóstico (no de diagnóstico autónomo), (2) supervisión médica integrada en el flujo, (3) consentimiento informado explícito del paciente, (4) mecanismo de reporte de errores y mejora continua, y (5) cobertura de responsabilidad legal claramente definida. Sin estas condiciones, el riesgo de daño supera el beneficio potencial.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1FF" w:val="clear"/>
            <w:tcMar>
              <w:top w:type="dxa" w:w="140"/>
              <w:left w:type="dxa" w:w="200"/>
              <w:bottom w:type="dxa" w:w="140"/>
              <w:right w:type="dxa" w:w="200"/>
            </w:tcMar>
          </w:tcPr>
          <w:p>
            <w:pPr>
              <w:spacing w:after="80"/>
              <w:jc w:val="center"/>
            </w:pPr>
            <w:r>
              <w:rPr>
                <w:rFonts w:ascii="Arial" w:cs="Arial" w:eastAsia="Arial" w:hAnsi="Arial"/>
                <w:b/>
                <w:bCs/>
                <w:color w:val="1F3864"/>
                <w:sz w:val="22"/>
                <w:szCs w:val="22"/>
              </w:rPr>
              <w:t xml:space="preserve">Rúbrica de Autoevaluación</w:t>
            </w:r>
          </w:p>
          <w:p>
            <w:pPr>
              <w:spacing w:before="40" w:after="20"/>
            </w:pPr>
            <w:r>
              <w:rPr>
                <w:rFonts w:ascii="Arial" w:cs="Arial" w:eastAsia="Arial" w:hAnsi="Arial"/>
                <w:b/>
                <w:bCs/>
                <w:color w:val="2E4A7A"/>
                <w:sz w:val="19"/>
                <w:szCs w:val="19"/>
              </w:rPr>
              <w:t xml:space="preserve">✅  Selección de técnicas (25%):  </w:t>
            </w:r>
            <w:r>
              <w:rPr>
                <w:rFonts w:ascii="Arial" w:cs="Arial" w:eastAsia="Arial" w:hAnsi="Arial"/>
                <w:sz w:val="19"/>
                <w:szCs w:val="19"/>
              </w:rPr>
              <w:t xml:space="preserve">Todas las técnicas correctas con justificaciones técnicas precisas que van más allá de lo básico.</w:t>
            </w:r>
          </w:p>
          <w:p>
            <w:pPr>
              <w:spacing w:before="40" w:after="20"/>
            </w:pPr>
            <w:r>
              <w:rPr>
                <w:rFonts w:ascii="Arial" w:cs="Arial" w:eastAsia="Arial" w:hAnsi="Arial"/>
                <w:b/>
                <w:bCs/>
                <w:color w:val="2E4A7A"/>
                <w:sz w:val="19"/>
                <w:szCs w:val="19"/>
              </w:rPr>
              <w:t xml:space="preserve">✅  Comprensión del ciclo de vida (25%):  </w:t>
            </w:r>
            <w:r>
              <w:rPr>
                <w:rFonts w:ascii="Arial" w:cs="Arial" w:eastAsia="Arial" w:hAnsi="Arial"/>
                <w:sz w:val="19"/>
                <w:szCs w:val="19"/>
              </w:rPr>
              <w:t xml:space="preserve">Pipeline ordenado correctamente. Análisis de alineamiento profundo con ejemplo concreto de over-refusal.</w:t>
            </w:r>
          </w:p>
          <w:p>
            <w:pPr>
              <w:spacing w:before="40" w:after="20"/>
            </w:pPr>
            <w:r>
              <w:rPr>
                <w:rFonts w:ascii="Arial" w:cs="Arial" w:eastAsia="Arial" w:hAnsi="Arial"/>
                <w:b/>
                <w:bCs/>
                <w:color w:val="2E4A7A"/>
                <w:sz w:val="19"/>
                <w:szCs w:val="19"/>
              </w:rPr>
              <w:t xml:space="preserve">✅  Tokenización y parámetros (25%):  </w:t>
            </w:r>
            <w:r>
              <w:rPr>
                <w:rFonts w:ascii="Arial" w:cs="Arial" w:eastAsia="Arial" w:hAnsi="Arial"/>
                <w:sz w:val="19"/>
                <w:szCs w:val="19"/>
              </w:rPr>
              <w:t xml:space="preserve">Análisis completo con datos reales del tokenizador y observaciones sobre implicaciones de coste y contexto.</w:t>
            </w:r>
          </w:p>
          <w:p>
            <w:pPr>
              <w:spacing w:before="40" w:after="20"/>
            </w:pPr>
            <w:r>
              <w:rPr>
                <w:rFonts w:ascii="Arial" w:cs="Arial" w:eastAsia="Arial" w:hAnsi="Arial"/>
                <w:b/>
                <w:bCs/>
                <w:color w:val="2E4A7A"/>
                <w:sz w:val="19"/>
                <w:szCs w:val="19"/>
              </w:rPr>
              <w:t xml:space="preserve">✅  Reflexión crítica (15%):  </w:t>
            </w:r>
            <w:r>
              <w:rPr>
                <w:rFonts w:ascii="Arial" w:cs="Arial" w:eastAsia="Arial" w:hAnsi="Arial"/>
                <w:sz w:val="19"/>
                <w:szCs w:val="19"/>
              </w:rPr>
              <w:t xml:space="preserve">Análisis ético estructurado con riesgos específicos, mitigaciones concretas y posición razonada.</w:t>
            </w:r>
          </w:p>
          <w:p>
            <w:pPr>
              <w:spacing w:before="40" w:after="20"/>
            </w:pPr>
            <w:r>
              <w:rPr>
                <w:rFonts w:ascii="Arial" w:cs="Arial" w:eastAsia="Arial" w:hAnsi="Arial"/>
                <w:b/>
                <w:bCs/>
                <w:color w:val="2E4A7A"/>
                <w:sz w:val="19"/>
                <w:szCs w:val="19"/>
              </w:rPr>
              <w:t xml:space="preserve">✅  Presentación y formato (10%):  </w:t>
            </w:r>
            <w:r>
              <w:rPr>
                <w:rFonts w:ascii="Arial" w:cs="Arial" w:eastAsia="Arial" w:hAnsi="Arial"/>
                <w:sz w:val="19"/>
                <w:szCs w:val="19"/>
              </w:rPr>
              <w:t xml:space="preserve">Documento organizado por partes, tablas claras, sin errores, con análisis adicionales en cada sección.</w:t>
            </w:r>
          </w:p>
        </w:tc>
      </w:tr>
    </w:tbl>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8"/>
      <w:szCs w:val="38"/>
    </w:rPr>
  </w:style>
  <w:style w:type="paragraph" w:styleId="Heading2">
    <w:name w:val="Heading 2"/>
    <w:basedOn w:val="Normal"/>
    <w:next w:val="Normal"/>
    <w:qFormat/>
    <w:pPr>
      <w:spacing w:before="280" w:after="14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72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2026-03-12T19:00:01.074Z</dcterms:created>
  <dcterms:modified xsi:type="dcterms:W3CDTF">2026-03-12T19:00:01.074Z</dcterms:modified>
</cp:coreProperties>
</file>

<file path=docProps/custom.xml><?xml version="1.0" encoding="utf-8"?>
<Properties xmlns="http://schemas.openxmlformats.org/officeDocument/2006/custom-properties" xmlns:vt="http://schemas.openxmlformats.org/officeDocument/2006/docPropsVTypes"/>
</file>