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drawing>
          <wp:inline distT="0" distB="0" distL="0" distR="0">
            <wp:extent cx="24765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0"/>
        <w:jc w:val="center"/>
      </w:pPr>
      <w:r>
        <w:rPr>
          <w:rFonts w:ascii="Georgia" w:cs="Georgia" w:eastAsia="Georgia" w:hAnsi="Georgia"/>
          <w:b/>
          <w:bCs/>
          <w:color w:val="855023"/>
          <w:sz w:val="40"/>
          <w:szCs w:val="40"/>
        </w:rPr>
        <w:t xml:space="preserve">MANUAL DE IDENTIDADE VISUAL</w:t>
      </w:r>
    </w:p>
    <w:p>
      <w:pPr>
        <w:spacing w:after="40"/>
        <w:jc w:val="center"/>
      </w:pPr>
      <w:r>
        <w:rPr>
          <w:rFonts w:ascii="Georgia" w:cs="Georgia" w:eastAsia="Georgia" w:hAnsi="Georgia"/>
          <w:color w:val="9C8C6E"/>
          <w:sz w:val="28"/>
          <w:szCs w:val="28"/>
        </w:rPr>
        <w:t xml:space="preserve">Mason Connect</w:t>
      </w:r>
    </w:p>
    <w:p>
      <w:pPr>
        <w:spacing w:before="60"/>
        <w:jc w:val="center"/>
      </w:pPr>
      <w:r>
        <w:rPr>
          <w:rFonts w:ascii="Verdana" w:cs="Verdana" w:eastAsia="Verdana" w:hAnsi="Verdana"/>
          <w:i/>
          <w:iCs/>
          <w:color w:val="9C8C6E"/>
          <w:sz w:val="18"/>
          <w:szCs w:val="18"/>
        </w:rPr>
        <w:t xml:space="preserve">Rede de conexões profissionais entre empresários</w:t>
      </w:r>
    </w:p>
    <w:p>
      <w:pPr>
        <w:spacing w:before="900"/>
        <w:jc w:val="center"/>
      </w:pPr>
      <w:r>
        <w:rPr>
          <w:rFonts w:ascii="Verdana" w:cs="Verdana" w:eastAsia="Verdana" w:hAnsi="Verdana"/>
          <w:color w:val="2B1D0A"/>
          <w:sz w:val="18"/>
          <w:szCs w:val="18"/>
        </w:rPr>
        <w:t xml:space="preserve">Documento técnico para desenvolvimento de sistema</w:t>
      </w:r>
    </w:p>
    <w:p>
      <w:pPr>
        <w:spacing w:before="40"/>
        <w:jc w:val="center"/>
      </w:pPr>
      <w:r>
        <w:rPr>
          <w:rFonts w:ascii="Verdana" w:cs="Verdana" w:eastAsia="Verdana" w:hAnsi="Verdana"/>
          <w:color w:val="9C8C6E"/>
          <w:sz w:val="16"/>
          <w:szCs w:val="16"/>
        </w:rPr>
        <w:t xml:space="preserve">Versão 1.0  ·  FONS Consultoria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Georgia" w:cs="Georgia" w:eastAsia="Georgia" w:hAnsi="Georgia"/>
          <w:b/>
          <w:bCs/>
          <w:color w:val="855023"/>
          <w:sz w:val="32"/>
          <w:szCs w:val="32"/>
        </w:rPr>
        <w:t xml:space="preserve">Sumário</w:t>
      </w:r>
    </w:p>
    <w:p>
      <w:pPr>
        <w:spacing w:after="120" w:line="300"/>
      </w:pPr>
      <w:r>
        <w:rPr>
          <w:rFonts w:ascii="Verdana" w:cs="Verdana" w:eastAsia="Verdana" w:hAnsi="Verdana"/>
          <w:color w:val="2B1D0A"/>
          <w:sz w:val="21"/>
          <w:szCs w:val="21"/>
        </w:rPr>
        <w:t xml:space="preserve">1.  A marca</w:t>
      </w:r>
    </w:p>
    <w:p>
      <w:pPr>
        <w:spacing w:after="120" w:line="300"/>
      </w:pPr>
      <w:r>
        <w:rPr>
          <w:rFonts w:ascii="Verdana" w:cs="Verdana" w:eastAsia="Verdana" w:hAnsi="Verdana"/>
          <w:color w:val="2B1D0A"/>
          <w:sz w:val="21"/>
          <w:szCs w:val="21"/>
        </w:rPr>
        <w:t xml:space="preserve">2.  A logomarca — versões e aplicação</w:t>
      </w:r>
    </w:p>
    <w:p>
      <w:pPr>
        <w:spacing w:after="120" w:line="300"/>
      </w:pPr>
      <w:r>
        <w:rPr>
          <w:rFonts w:ascii="Verdana" w:cs="Verdana" w:eastAsia="Verdana" w:hAnsi="Verdana"/>
          <w:color w:val="2B1D0A"/>
          <w:sz w:val="21"/>
          <w:szCs w:val="21"/>
        </w:rPr>
        <w:t xml:space="preserve">3.  Área de proteção, tamanho mínimo e usos incorretos</w:t>
      </w:r>
    </w:p>
    <w:p>
      <w:pPr>
        <w:spacing w:after="120" w:line="300"/>
      </w:pPr>
      <w:r>
        <w:rPr>
          <w:rFonts w:ascii="Verdana" w:cs="Verdana" w:eastAsia="Verdana" w:hAnsi="Verdana"/>
          <w:color w:val="2B1D0A"/>
          <w:sz w:val="21"/>
          <w:szCs w:val="21"/>
        </w:rPr>
        <w:t xml:space="preserve">4.  Paleta de cores</w:t>
      </w:r>
    </w:p>
    <w:p>
      <w:pPr>
        <w:spacing w:after="120" w:line="300"/>
      </w:pPr>
      <w:r>
        <w:rPr>
          <w:rFonts w:ascii="Verdana" w:cs="Verdana" w:eastAsia="Verdana" w:hAnsi="Verdana"/>
          <w:color w:val="2B1D0A"/>
          <w:sz w:val="21"/>
          <w:szCs w:val="21"/>
        </w:rPr>
        <w:t xml:space="preserve">5.  Tipografia</w:t>
      </w:r>
    </w:p>
    <w:p>
      <w:pPr>
        <w:spacing w:after="120" w:line="300"/>
      </w:pPr>
      <w:r>
        <w:rPr>
          <w:rFonts w:ascii="Verdana" w:cs="Verdana" w:eastAsia="Verdana" w:hAnsi="Verdana"/>
          <w:color w:val="2B1D0A"/>
          <w:sz w:val="21"/>
          <w:szCs w:val="21"/>
        </w:rPr>
        <w:t xml:space="preserve">6.  Tokens de design (para desenvolvimento)</w:t>
      </w:r>
    </w:p>
    <w:p>
      <w:pPr>
        <w:spacing w:after="120" w:line="300"/>
      </w:pPr>
      <w:r>
        <w:rPr>
          <w:rFonts w:ascii="Verdana" w:cs="Verdana" w:eastAsia="Verdana" w:hAnsi="Verdana"/>
          <w:color w:val="2B1D0A"/>
          <w:sz w:val="21"/>
          <w:szCs w:val="21"/>
        </w:rPr>
        <w:t xml:space="preserve">7.  Aplicação em interface (UI)</w:t>
      </w:r>
    </w:p>
    <w:p>
      <w:pPr>
        <w:spacing w:after="120" w:line="300"/>
      </w:pPr>
      <w:r>
        <w:rPr>
          <w:rFonts w:ascii="Verdana" w:cs="Verdana" w:eastAsia="Verdana" w:hAnsi="Verdana"/>
          <w:color w:val="2B1D0A"/>
          <w:sz w:val="21"/>
          <w:szCs w:val="21"/>
        </w:rPr>
        <w:t xml:space="preserve">8.  Arquivos entregues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Georgia" w:cs="Georgia" w:eastAsia="Georgia" w:hAnsi="Georgia"/>
          <w:b/>
          <w:bCs/>
          <w:color w:val="855023"/>
          <w:sz w:val="32"/>
          <w:szCs w:val="32"/>
        </w:rPr>
        <w:t xml:space="preserve">1. A marca</w:t>
      </w:r>
    </w:p>
    <w:p>
      <w:pPr>
        <w:spacing w:after="120" w:line="300"/>
      </w:pPr>
      <w:r>
        <w:rPr>
          <w:rFonts w:ascii="Verdana" w:cs="Verdana" w:eastAsia="Verdana" w:hAnsi="Verdana"/>
          <w:color w:val="2B1D0A"/>
          <w:sz w:val="21"/>
          <w:szCs w:val="21"/>
        </w:rPr>
        <w:t xml:space="preserve">A Mason Connect é uma rede de conexões profissionais, por indicação e de membresia fechada, voltada a empresários, profissionais liberais e executivos. Sua identidade visual traduz os valores centrais da organização: confiança, discrição, autoridade e pertencimento.</w:t>
      </w:r>
    </w:p>
    <w:p>
      <w:pPr>
        <w:spacing w:after="120" w:line="300"/>
      </w:pPr>
      <w:r>
        <w:rPr>
          <w:rFonts w:ascii="Verdana" w:cs="Verdana" w:eastAsia="Verdana" w:hAnsi="Verdana"/>
          <w:color w:val="2B1D0A"/>
          <w:sz w:val="21"/>
          <w:szCs w:val="21"/>
        </w:rPr>
        <w:t xml:space="preserve">A marca combina um monograma de letras entrelaçadas — símbolo de conexão e vínculo — com a assinatura tipográfica "MASON CONNECT". A paleta em tons de marrom, dourado e creme comunica sobriedade e prestígio, evocando materiais nobres e permanência.</w:t>
      </w:r>
    </w:p>
    <w:p>
      <w:pPr>
        <w:spacing w:after="120" w:line="300"/>
      </w:pPr>
      <w:r>
        <w:rPr>
          <w:rFonts w:ascii="Verdana" w:cs="Verdana" w:eastAsia="Verdana" w:hAnsi="Verdana"/>
          <w:b/>
          <w:bCs/>
          <w:color w:val="2B1D0A"/>
          <w:sz w:val="21"/>
          <w:szCs w:val="21"/>
        </w:rPr>
        <w:t xml:space="preserve">Atributos que a identidade deve transmitir: </w:t>
      </w:r>
      <w:r>
        <w:rPr>
          <w:rFonts w:ascii="Verdana" w:cs="Verdana" w:eastAsia="Verdana" w:hAnsi="Verdana"/>
          <w:color w:val="2B1D0A"/>
          <w:sz w:val="21"/>
          <w:szCs w:val="21"/>
        </w:rPr>
        <w:t xml:space="preserve">estabilidade, credibilidade, exclusividade e serenidade.</w:t>
      </w:r>
    </w:p>
    <w:p>
      <w:pPr>
        <w:spacing w:before="120"/>
      </w:pPr>
    </w:p>
    <w:p>
      <w:pPr>
        <w:pBdr>
          <w:top w:val="single" w:color="CAAA67" w:sz="4"/>
          <w:bottom w:val="single" w:color="CAAA67" w:sz="4"/>
          <w:left w:val="single" w:color="CAAA67" w:sz="12"/>
          <w:right w:val="single" w:color="CAAA67" w:sz="4"/>
        </w:pBdr>
        <w:shd w:fill="F7F1E4" w:color="auto" w:val="clear"/>
        <w:spacing w:after="60" w:before="60" w:line="300"/>
      </w:pPr>
      <w:r>
        <w:rPr>
          <w:rFonts w:ascii="Verdana" w:cs="Verdana" w:eastAsia="Verdana" w:hAnsi="Verdana"/>
          <w:b/>
          <w:bCs/>
          <w:color w:val="855023"/>
          <w:sz w:val="20"/>
          <w:szCs w:val="20"/>
        </w:rPr>
        <w:t xml:space="preserve">Nota sobre o nome do arquivo: </w:t>
      </w:r>
      <w:r>
        <w:rPr>
          <w:rFonts w:ascii="Verdana" w:cs="Verdana" w:eastAsia="Verdana" w:hAnsi="Verdana"/>
          <w:color w:val="2B1D0A"/>
          <w:sz w:val="20"/>
          <w:szCs w:val="20"/>
        </w:rPr>
        <w:t xml:space="preserve">o arquivo oficial da logomarca chama-se "Logo_Maison.jpeg". A grafia do arquivo difere do nome da organização (Mason Connect) — isso está confirmado e é intencional para fins de controle interno. O dev deve usar o arquivo como está.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Georgia" w:cs="Georgia" w:eastAsia="Georgia" w:hAnsi="Georgia"/>
          <w:b/>
          <w:bCs/>
          <w:color w:val="855023"/>
          <w:sz w:val="32"/>
          <w:szCs w:val="32"/>
        </w:rPr>
        <w:t xml:space="preserve">2. A logomarca — versões e aplicação</w:t>
      </w:r>
    </w:p>
    <w:p>
      <w:pPr>
        <w:spacing w:after="120" w:line="300"/>
      </w:pPr>
      <w:r>
        <w:rPr>
          <w:rFonts w:ascii="Verdana" w:cs="Verdana" w:eastAsia="Verdana" w:hAnsi="Verdana"/>
          <w:color w:val="2B1D0A"/>
          <w:sz w:val="21"/>
          <w:szCs w:val="21"/>
        </w:rPr>
        <w:t xml:space="preserve">Quatro versões da logomarca são entregues, cada uma para um contexto de fundo. O desenvolvedor deve escolher a versão conforme o fundo onde a marca será aplicada, garantindo sempre contraste e legibilidade.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855023"/>
          <w:sz w:val="26"/>
          <w:szCs w:val="26"/>
        </w:rPr>
        <w:t xml:space="preserve">2.1  Versão principal (fundo claro)</w:t>
      </w:r>
    </w:p>
    <w:p>
      <w:pPr>
        <w:spacing w:after="120" w:line="300"/>
      </w:pPr>
      <w:r>
        <w:rPr>
          <w:rFonts w:ascii="Verdana" w:cs="Verdana" w:eastAsia="Verdana" w:hAnsi="Verdana"/>
          <w:color w:val="2B1D0A"/>
          <w:sz w:val="21"/>
          <w:szCs w:val="21"/>
        </w:rPr>
        <w:t xml:space="preserve">Aplicação preferencial. Usar sobre fundo branco, creme (#F7F1E4) ou tons claros. Arquivo com fundo transparente (PNG).</w:t>
      </w:r>
    </w:p>
    <w:p>
      <w:pPr>
        <w:shd w:fill="FFFFFF" w:color="auto" w:val="clear"/>
        <w:spacing w:after="40" w:before="80"/>
        <w:jc w:val="center"/>
      </w:pPr>
      <w:r>
        <w:drawing>
          <wp:inline distT="0" distB="0" distL="0" distR="0">
            <wp:extent cx="1905000" cy="1695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rPr>
          <w:rFonts w:ascii="Verdana" w:cs="Verdana" w:eastAsia="Verdana" w:hAnsi="Verdana"/>
          <w:b/>
          <w:bCs/>
          <w:color w:val="9C8C6E"/>
          <w:sz w:val="19"/>
          <w:szCs w:val="19"/>
        </w:rPr>
        <w:t xml:space="preserve">Arquivo: </w:t>
      </w:r>
      <w:r>
        <w:rPr>
          <w:rFonts w:ascii="Verdana" w:cs="Verdana" w:eastAsia="Verdana" w:hAnsi="Verdana"/>
          <w:color w:val="2B1D0A"/>
          <w:sz w:val="19"/>
          <w:szCs w:val="19"/>
        </w:rPr>
        <w:t xml:space="preserve">Logo_MasonConnect_transparente.png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855023"/>
          <w:sz w:val="26"/>
          <w:szCs w:val="26"/>
        </w:rPr>
        <w:t xml:space="preserve">2.2  Versão para fundo escuro (dourada)</w:t>
      </w:r>
    </w:p>
    <w:p>
      <w:pPr>
        <w:spacing w:after="120" w:line="300"/>
      </w:pPr>
      <w:r>
        <w:rPr>
          <w:rFonts w:ascii="Verdana" w:cs="Verdana" w:eastAsia="Verdana" w:hAnsi="Verdana"/>
          <w:color w:val="2B1D0A"/>
          <w:sz w:val="21"/>
          <w:szCs w:val="21"/>
        </w:rPr>
        <w:t xml:space="preserve">Para telas escuras, cabeçalhos navy (#1A1F2E) e apresentações. Marca recolorida no dourado da marca, com fundo transparente.</w:t>
      </w:r>
    </w:p>
    <w:p>
      <w:pPr>
        <w:spacing w:after="40" w:before="80"/>
        <w:jc w:val="center"/>
      </w:pPr>
      <w:r>
        <w:drawing>
          <wp:inline distT="0" distB="0" distL="0" distR="0">
            <wp:extent cx="1905000" cy="1695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rPr>
          <w:rFonts w:ascii="Verdana" w:cs="Verdana" w:eastAsia="Verdana" w:hAnsi="Verdana"/>
          <w:b/>
          <w:bCs/>
          <w:color w:val="9C8C6E"/>
          <w:sz w:val="19"/>
          <w:szCs w:val="19"/>
        </w:rPr>
        <w:t xml:space="preserve">Arquivo: </w:t>
      </w:r>
      <w:r>
        <w:rPr>
          <w:rFonts w:ascii="Verdana" w:cs="Verdana" w:eastAsia="Verdana" w:hAnsi="Verdana"/>
          <w:color w:val="2B1D0A"/>
          <w:sz w:val="19"/>
          <w:szCs w:val="19"/>
        </w:rPr>
        <w:t xml:space="preserve">Logo_MasonConnect_dourado_fundo-escuro.png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855023"/>
          <w:sz w:val="26"/>
          <w:szCs w:val="26"/>
        </w:rPr>
        <w:t xml:space="preserve">2.3  Ícone / monograma (favicon, avatar, app)</w:t>
      </w:r>
    </w:p>
    <w:p>
      <w:pPr>
        <w:spacing w:after="120" w:line="300"/>
      </w:pPr>
      <w:r>
        <w:rPr>
          <w:rFonts w:ascii="Verdana" w:cs="Verdana" w:eastAsia="Verdana" w:hAnsi="Verdana"/>
          <w:color w:val="2B1D0A"/>
          <w:sz w:val="21"/>
          <w:szCs w:val="21"/>
        </w:rPr>
        <w:t xml:space="preserve">Recorte do monograma para usos reduzidos: favicon, ícone de app, avatar de redes sociais e marca d’água. Fundo transparente.</w:t>
      </w:r>
    </w:p>
    <w:p>
      <w:pPr>
        <w:spacing w:after="40" w:before="80"/>
        <w:jc w:val="center"/>
      </w:pPr>
      <w:r>
        <w:drawing>
          <wp:inline distT="0" distB="0" distL="0" distR="0">
            <wp:extent cx="1428750" cy="1171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rPr>
          <w:rFonts w:ascii="Verdana" w:cs="Verdana" w:eastAsia="Verdana" w:hAnsi="Verdana"/>
          <w:b/>
          <w:bCs/>
          <w:color w:val="9C8C6E"/>
          <w:sz w:val="19"/>
          <w:szCs w:val="19"/>
        </w:rPr>
        <w:t xml:space="preserve">Arquivo: </w:t>
      </w:r>
      <w:r>
        <w:rPr>
          <w:rFonts w:ascii="Verdana" w:cs="Verdana" w:eastAsia="Verdana" w:hAnsi="Verdana"/>
          <w:color w:val="2B1D0A"/>
          <w:sz w:val="19"/>
          <w:szCs w:val="19"/>
        </w:rPr>
        <w:t xml:space="preserve">Logo_MasonConnect_recortado_transparente.png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Georgia" w:cs="Georgia" w:eastAsia="Georgia" w:hAnsi="Georgia"/>
          <w:b/>
          <w:bCs/>
          <w:color w:val="855023"/>
          <w:sz w:val="32"/>
          <w:szCs w:val="32"/>
        </w:rPr>
        <w:t xml:space="preserve">3. Área de proteção, tamanho mínimo e usos incorretos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855023"/>
          <w:sz w:val="26"/>
          <w:szCs w:val="26"/>
        </w:rPr>
        <w:t xml:space="preserve">3.1  Área de proteção</w:t>
      </w:r>
    </w:p>
    <w:p>
      <w:pPr>
        <w:spacing w:after="120" w:line="300"/>
      </w:pPr>
      <w:r>
        <w:rPr>
          <w:rFonts w:ascii="Verdana" w:cs="Verdana" w:eastAsia="Verdana" w:hAnsi="Verdana"/>
          <w:color w:val="2B1D0A"/>
          <w:sz w:val="21"/>
          <w:szCs w:val="21"/>
        </w:rPr>
        <w:t xml:space="preserve">Mantenha ao redor da logomarca uma margem livre mínima equivalente à altura da letra "M" da assinatura. Nenhum outro elemento (texto, imagem, borda) deve invadir essa área.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855023"/>
          <w:sz w:val="26"/>
          <w:szCs w:val="26"/>
        </w:rPr>
        <w:t xml:space="preserve">3.2  Tamanho mínimo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Verdana" w:cs="Verdana" w:eastAsia="Verdana" w:hAnsi="Verdana"/>
          <w:color w:val="2B1D0A"/>
          <w:sz w:val="21"/>
          <w:szCs w:val="21"/>
        </w:rPr>
        <w:t xml:space="preserve">Logomarca completa: largura mínima de 120 px (digital) / 30 mm (impresso).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Verdana" w:cs="Verdana" w:eastAsia="Verdana" w:hAnsi="Verdana"/>
          <w:color w:val="2B1D0A"/>
          <w:sz w:val="21"/>
          <w:szCs w:val="21"/>
        </w:rPr>
        <w:t xml:space="preserve">Ícone / monograma: mínimo de 32 px (favicon 16–48 px é aceitável por ser recorte simplificado).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855023"/>
          <w:sz w:val="26"/>
          <w:szCs w:val="26"/>
        </w:rPr>
        <w:t xml:space="preserve">3.3  Usos incorretos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Verdana" w:cs="Verdana" w:eastAsia="Verdana" w:hAnsi="Verdana"/>
          <w:color w:val="2B1D0A"/>
          <w:sz w:val="21"/>
          <w:szCs w:val="21"/>
        </w:rPr>
        <w:t xml:space="preserve">Não distorcer, esticar ou comprimir a marca — redimensione sempre proporcionalmente.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Verdana" w:cs="Verdana" w:eastAsia="Verdana" w:hAnsi="Verdana"/>
          <w:color w:val="2B1D0A"/>
          <w:sz w:val="21"/>
          <w:szCs w:val="21"/>
        </w:rPr>
        <w:t xml:space="preserve">Não alterar as cores da marca fora das versões oficiais fornecidas.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Verdana" w:cs="Verdana" w:eastAsia="Verdana" w:hAnsi="Verdana"/>
          <w:color w:val="2B1D0A"/>
          <w:sz w:val="21"/>
          <w:szCs w:val="21"/>
        </w:rPr>
        <w:t xml:space="preserve">Não aplicar a versão de fundo claro sobre fundos escuros (e vice-versa) — o contraste se perde.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Verdana" w:cs="Verdana" w:eastAsia="Verdana" w:hAnsi="Verdana"/>
          <w:color w:val="2B1D0A"/>
          <w:sz w:val="21"/>
          <w:szCs w:val="21"/>
        </w:rPr>
        <w:t xml:space="preserve">Não adicionar sombras, contornos, brilhos ou efeitos não previstos.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Verdana" w:cs="Verdana" w:eastAsia="Verdana" w:hAnsi="Verdana"/>
          <w:color w:val="2B1D0A"/>
          <w:sz w:val="21"/>
          <w:szCs w:val="21"/>
        </w:rPr>
        <w:t xml:space="preserve">Não rotacionar a marca nem reposicionar elementos do monograma.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Verdana" w:cs="Verdana" w:eastAsia="Verdana" w:hAnsi="Verdana"/>
          <w:color w:val="2B1D0A"/>
          <w:sz w:val="21"/>
          <w:szCs w:val="21"/>
        </w:rPr>
        <w:t xml:space="preserve">Não recriar a assinatura em outra fonte — usar sempre o arquivo oficial.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Georgia" w:cs="Georgia" w:eastAsia="Georgia" w:hAnsi="Georgia"/>
          <w:b/>
          <w:bCs/>
          <w:color w:val="855023"/>
          <w:sz w:val="32"/>
          <w:szCs w:val="32"/>
        </w:rPr>
        <w:t xml:space="preserve">4. Paleta de cores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855023"/>
          <w:sz w:val="26"/>
          <w:szCs w:val="26"/>
        </w:rPr>
        <w:t xml:space="preserve">4.1  Sistema principal (marca)</w:t>
      </w:r>
    </w:p>
    <w:p>
      <w:pPr>
        <w:spacing w:after="120" w:line="300"/>
      </w:pPr>
      <w:r>
        <w:rPr>
          <w:rFonts w:ascii="Verdana" w:cs="Verdana" w:eastAsia="Verdana" w:hAnsi="Verdana"/>
          <w:color w:val="2B1D0A"/>
          <w:sz w:val="21"/>
          <w:szCs w:val="21"/>
        </w:rPr>
        <w:t xml:space="preserve">Cores institucionais aplicadas em site, aplicativo, documentos e redes sociais.</w:t>
      </w:r>
    </w:p>
    <w:tbl>
      <w:tblPr>
        <w:tblW w:type="dxa" w:w="9400"/>
        <w:tblBorders>
          <w:top w:val="single" w:color="E3D9C4" w:sz="4"/>
          <w:left w:val="single" w:color="E3D9C4" w:sz="4"/>
          <w:bottom w:val="single" w:color="E3D9C4" w:sz="4"/>
          <w:right w:val="single" w:color="E3D9C4" w:sz="4"/>
          <w:insideH w:val="single" w:color="E3D9C4" w:sz="4"/>
          <w:insideV w:val="single" w:color="E3D9C4" w:sz="4"/>
        </w:tblBorders>
      </w:tblPr>
      <w:tblGrid>
        <w:gridCol w:w="900"/>
        <w:gridCol w:w="1500"/>
        <w:gridCol w:w="1300"/>
        <w:gridCol w:w="1600"/>
        <w:gridCol w:w="1600"/>
        <w:gridCol w:w="2500"/>
      </w:tblGrid>
      <w:tr>
        <w:trPr>
          <w:tblHeader/>
        </w:trPr>
        <w:tc>
          <w:tcPr>
            <w:tcW w:type="dxa" w:w="900"/>
            <w:shd w:fill="85502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7F1E4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85502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7F1E4"/>
                <w:sz w:val="18"/>
                <w:szCs w:val="18"/>
              </w:rPr>
              <w:t xml:space="preserve">Cor</w:t>
            </w:r>
          </w:p>
        </w:tc>
        <w:tc>
          <w:tcPr>
            <w:tcW w:type="dxa" w:w="1300"/>
            <w:shd w:fill="85502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7F1E4"/>
                <w:sz w:val="18"/>
                <w:szCs w:val="18"/>
              </w:rPr>
              <w:t xml:space="preserve">HEX</w:t>
            </w:r>
          </w:p>
        </w:tc>
        <w:tc>
          <w:tcPr>
            <w:tcW w:type="dxa" w:w="1600"/>
            <w:shd w:fill="85502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7F1E4"/>
                <w:sz w:val="18"/>
                <w:szCs w:val="18"/>
              </w:rPr>
              <w:t xml:space="preserve">RGB</w:t>
            </w:r>
          </w:p>
        </w:tc>
        <w:tc>
          <w:tcPr>
            <w:tcW w:type="dxa" w:w="1600"/>
            <w:shd w:fill="85502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7F1E4"/>
                <w:sz w:val="18"/>
                <w:szCs w:val="18"/>
              </w:rPr>
              <w:t xml:space="preserve">CMYK</w:t>
            </w:r>
          </w:p>
        </w:tc>
        <w:tc>
          <w:tcPr>
            <w:tcW w:type="dxa" w:w="2500"/>
            <w:shd w:fill="85502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7F1E4"/>
                <w:sz w:val="18"/>
                <w:szCs w:val="18"/>
              </w:rPr>
              <w:t xml:space="preserve">Aplicação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drawing>
                <wp:inline distT="0" distB="0" distL="0" distR="0">
                  <wp:extent cx="66675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2B1D0A"/>
                <w:sz w:val="19"/>
                <w:szCs w:val="19"/>
              </w:rPr>
              <w:t xml:space="preserve">Marrom escuro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8"/>
                <w:szCs w:val="18"/>
              </w:rPr>
              <w:t xml:space="preserve">#855023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7"/>
                <w:szCs w:val="17"/>
              </w:rPr>
              <w:t xml:space="preserve">133 · 80 · 35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7"/>
                <w:szCs w:val="17"/>
              </w:rPr>
              <w:t xml:space="preserve">0·40·74·48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7"/>
                <w:szCs w:val="17"/>
              </w:rPr>
              <w:t xml:space="preserve">Primária institucional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drawing>
                <wp:inline distT="0" distB="0" distL="0" distR="0">
                  <wp:extent cx="66675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2B1D0A"/>
                <w:sz w:val="19"/>
                <w:szCs w:val="19"/>
              </w:rPr>
              <w:t xml:space="preserve">Dourado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8"/>
                <w:szCs w:val="18"/>
              </w:rPr>
              <w:t xml:space="preserve">#CAAA67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7"/>
                <w:szCs w:val="17"/>
              </w:rPr>
              <w:t xml:space="preserve">202 · 170 · 103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7"/>
                <w:szCs w:val="17"/>
              </w:rPr>
              <w:t xml:space="preserve">0·16·49·21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7"/>
                <w:szCs w:val="17"/>
              </w:rPr>
              <w:t xml:space="preserve">Acento / destaque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drawing>
                <wp:inline distT="0" distB="0" distL="0" distR="0">
                  <wp:extent cx="66675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2B1D0A"/>
                <w:sz w:val="19"/>
                <w:szCs w:val="19"/>
              </w:rPr>
              <w:t xml:space="preserve">Creme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8"/>
                <w:szCs w:val="18"/>
              </w:rPr>
              <w:t xml:space="preserve">#F7F1E4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7"/>
                <w:szCs w:val="17"/>
              </w:rPr>
              <w:t xml:space="preserve">247 · 241 · 228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7"/>
                <w:szCs w:val="17"/>
              </w:rPr>
              <w:t xml:space="preserve">0·2·8·3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7"/>
                <w:szCs w:val="17"/>
              </w:rPr>
              <w:t xml:space="preserve">Fundo claro base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drawing>
                <wp:inline distT="0" distB="0" distL="0" distR="0">
                  <wp:extent cx="66675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2B1D0A"/>
                <w:sz w:val="19"/>
                <w:szCs w:val="19"/>
              </w:rPr>
              <w:t xml:space="preserve">Ébano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8"/>
                <w:szCs w:val="18"/>
              </w:rPr>
              <w:t xml:space="preserve">#2B1D0A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7"/>
                <w:szCs w:val="17"/>
              </w:rPr>
              <w:t xml:space="preserve">43 · 29 · 10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7"/>
                <w:szCs w:val="17"/>
              </w:rPr>
              <w:t xml:space="preserve">0·33·77·83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7"/>
                <w:szCs w:val="17"/>
              </w:rPr>
              <w:t xml:space="preserve">Texto / fundo escuro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drawing>
                <wp:inline distT="0" distB="0" distL="0" distR="0">
                  <wp:extent cx="66675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2B1D0A"/>
                <w:sz w:val="19"/>
                <w:szCs w:val="19"/>
              </w:rPr>
              <w:t xml:space="preserve">Bronze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8"/>
                <w:szCs w:val="18"/>
              </w:rPr>
              <w:t xml:space="preserve">#9C8C6E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7"/>
                <w:szCs w:val="17"/>
              </w:rPr>
              <w:t xml:space="preserve">156 · 140 · 110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7"/>
                <w:szCs w:val="17"/>
              </w:rPr>
              <w:t xml:space="preserve">0·10·29·39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7"/>
                <w:szCs w:val="17"/>
              </w:rPr>
              <w:t xml:space="preserve">Neutro de apoio / bordas</w:t>
            </w:r>
          </w:p>
        </w:tc>
      </w:tr>
    </w:tbl>
    <w:p>
      <w:pPr>
        <w:spacing w:before="200"/>
      </w:pP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855023"/>
          <w:sz w:val="26"/>
          <w:szCs w:val="26"/>
        </w:rPr>
        <w:t xml:space="preserve">4.2  Sistema de apresentação (telas escuras / decks)</w:t>
      </w:r>
    </w:p>
    <w:p>
      <w:pPr>
        <w:spacing w:after="120" w:line="300"/>
      </w:pPr>
      <w:r>
        <w:rPr>
          <w:rFonts w:ascii="Verdana" w:cs="Verdana" w:eastAsia="Verdana" w:hAnsi="Verdana"/>
          <w:color w:val="2B1D0A"/>
          <w:sz w:val="21"/>
          <w:szCs w:val="21"/>
        </w:rPr>
        <w:t xml:space="preserve">Paleta secundária para apresentações institucionais e telas de fundo escuro, com maior saturação do dourado para garantir contraste.</w:t>
      </w:r>
    </w:p>
    <w:tbl>
      <w:tblPr>
        <w:tblW w:type="dxa" w:w="9400"/>
        <w:tblBorders>
          <w:top w:val="single" w:color="E3D9C4" w:sz="4"/>
          <w:left w:val="single" w:color="E3D9C4" w:sz="4"/>
          <w:bottom w:val="single" w:color="E3D9C4" w:sz="4"/>
          <w:right w:val="single" w:color="E3D9C4" w:sz="4"/>
          <w:insideH w:val="single" w:color="E3D9C4" w:sz="4"/>
          <w:insideV w:val="single" w:color="E3D9C4" w:sz="4"/>
        </w:tblBorders>
      </w:tblPr>
      <w:tblGrid>
        <w:gridCol w:w="900"/>
        <w:gridCol w:w="1500"/>
        <w:gridCol w:w="1300"/>
        <w:gridCol w:w="1600"/>
        <w:gridCol w:w="1600"/>
        <w:gridCol w:w="2500"/>
      </w:tblGrid>
      <w:tr>
        <w:trPr>
          <w:tblHeader/>
        </w:trPr>
        <w:tc>
          <w:tcPr>
            <w:tcW w:type="dxa" w:w="900"/>
            <w:shd w:fill="85502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7F1E4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85502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7F1E4"/>
                <w:sz w:val="18"/>
                <w:szCs w:val="18"/>
              </w:rPr>
              <w:t xml:space="preserve">Cor</w:t>
            </w:r>
          </w:p>
        </w:tc>
        <w:tc>
          <w:tcPr>
            <w:tcW w:type="dxa" w:w="1300"/>
            <w:shd w:fill="85502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7F1E4"/>
                <w:sz w:val="18"/>
                <w:szCs w:val="18"/>
              </w:rPr>
              <w:t xml:space="preserve">HEX</w:t>
            </w:r>
          </w:p>
        </w:tc>
        <w:tc>
          <w:tcPr>
            <w:tcW w:type="dxa" w:w="1600"/>
            <w:shd w:fill="85502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7F1E4"/>
                <w:sz w:val="18"/>
                <w:szCs w:val="18"/>
              </w:rPr>
              <w:t xml:space="preserve">RGB</w:t>
            </w:r>
          </w:p>
        </w:tc>
        <w:tc>
          <w:tcPr>
            <w:tcW w:type="dxa" w:w="1600"/>
            <w:shd w:fill="85502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7F1E4"/>
                <w:sz w:val="18"/>
                <w:szCs w:val="18"/>
              </w:rPr>
              <w:t xml:space="preserve">CMYK</w:t>
            </w:r>
          </w:p>
        </w:tc>
        <w:tc>
          <w:tcPr>
            <w:tcW w:type="dxa" w:w="2500"/>
            <w:shd w:fill="85502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7F1E4"/>
                <w:sz w:val="18"/>
                <w:szCs w:val="18"/>
              </w:rPr>
              <w:t xml:space="preserve">Aplicação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drawing>
                <wp:inline distT="0" distB="0" distL="0" distR="0">
                  <wp:extent cx="66675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2B1D0A"/>
                <w:sz w:val="19"/>
                <w:szCs w:val="19"/>
              </w:rPr>
              <w:t xml:space="preserve">Navy primário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8"/>
                <w:szCs w:val="18"/>
              </w:rPr>
              <w:t xml:space="preserve">#1A1F2E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7"/>
                <w:szCs w:val="17"/>
              </w:rPr>
              <w:t xml:space="preserve">26 · 31 · 46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7"/>
                <w:szCs w:val="17"/>
              </w:rPr>
              <w:t xml:space="preserve">43·33·0·82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7"/>
                <w:szCs w:val="17"/>
              </w:rPr>
              <w:t xml:space="preserve">Fundo escuro primário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drawing>
                <wp:inline distT="0" distB="0" distL="0" distR="0">
                  <wp:extent cx="66675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2B1D0A"/>
                <w:sz w:val="19"/>
                <w:szCs w:val="19"/>
              </w:rPr>
              <w:t xml:space="preserve">Navy secundário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8"/>
                <w:szCs w:val="18"/>
              </w:rPr>
              <w:t xml:space="preserve">#243352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7"/>
                <w:szCs w:val="17"/>
              </w:rPr>
              <w:t xml:space="preserve">36 · 51 · 82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7"/>
                <w:szCs w:val="17"/>
              </w:rPr>
              <w:t xml:space="preserve">56·38·0·68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7"/>
                <w:szCs w:val="17"/>
              </w:rPr>
              <w:t xml:space="preserve">Cards / blocos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drawing>
                <wp:inline distT="0" distB="0" distL="0" distR="0">
                  <wp:extent cx="66675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2B1D0A"/>
                <w:sz w:val="19"/>
                <w:szCs w:val="19"/>
              </w:rPr>
              <w:t xml:space="preserve">Dourado deck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8"/>
                <w:szCs w:val="18"/>
              </w:rPr>
              <w:t xml:space="preserve">#B8952A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7"/>
                <w:szCs w:val="17"/>
              </w:rPr>
              <w:t xml:space="preserve">184 · 149 · 42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7"/>
                <w:szCs w:val="17"/>
              </w:rPr>
              <w:t xml:space="preserve">0·19·77·28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7"/>
                <w:szCs w:val="17"/>
              </w:rPr>
              <w:t xml:space="preserve">Dourado sobre escuro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drawing>
                <wp:inline distT="0" distB="0" distL="0" distR="0">
                  <wp:extent cx="66675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2B1D0A"/>
                <w:sz w:val="19"/>
                <w:szCs w:val="19"/>
              </w:rPr>
              <w:t xml:space="preserve">Dourado claro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8"/>
                <w:szCs w:val="18"/>
              </w:rPr>
              <w:t xml:space="preserve">#C9A84C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7"/>
                <w:szCs w:val="17"/>
              </w:rPr>
              <w:t xml:space="preserve">201 · 168 · 76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7"/>
                <w:szCs w:val="17"/>
              </w:rPr>
              <w:t xml:space="preserve">0·16·62·21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7"/>
                <w:szCs w:val="17"/>
              </w:rPr>
              <w:t xml:space="preserve">Títulos sobre escuro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drawing>
                <wp:inline distT="0" distB="0" distL="0" distR="0">
                  <wp:extent cx="66675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2B1D0A"/>
                <w:sz w:val="19"/>
                <w:szCs w:val="19"/>
              </w:rPr>
              <w:t xml:space="preserve">Creme deck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8"/>
                <w:szCs w:val="18"/>
              </w:rPr>
              <w:t xml:space="preserve">#F5EDD6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7"/>
                <w:szCs w:val="17"/>
              </w:rPr>
              <w:t xml:space="preserve">245 · 237 · 214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7"/>
                <w:szCs w:val="17"/>
              </w:rPr>
              <w:t xml:space="preserve">0·3·13·4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7"/>
                <w:szCs w:val="17"/>
              </w:rPr>
              <w:t xml:space="preserve">Texto sobre escuro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Georgia" w:cs="Georgia" w:eastAsia="Georgia" w:hAnsi="Georgia"/>
          <w:b/>
          <w:bCs/>
          <w:color w:val="855023"/>
          <w:sz w:val="32"/>
          <w:szCs w:val="32"/>
        </w:rPr>
        <w:t xml:space="preserve">5. Tipografia</w:t>
      </w:r>
    </w:p>
    <w:p>
      <w:pPr>
        <w:spacing w:after="120" w:line="300"/>
      </w:pPr>
      <w:r>
        <w:rPr>
          <w:rFonts w:ascii="Verdana" w:cs="Verdana" w:eastAsia="Verdana" w:hAnsi="Verdana"/>
          <w:color w:val="2B1D0A"/>
          <w:sz w:val="21"/>
          <w:szCs w:val="21"/>
        </w:rPr>
        <w:t xml:space="preserve">Duas famílias tipográficas compõem o sistema. Ambas são fontes de sistema (nativas), o que garante disponibilidade sem necessidade de licenciamento ou carregamento externo — vantagem prática para o desenvolvimento.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855023"/>
          <w:sz w:val="26"/>
          <w:szCs w:val="26"/>
        </w:rPr>
        <w:t xml:space="preserve">5.1  Georgia — Títulos e destaques</w:t>
      </w:r>
    </w:p>
    <w:p>
      <w:pPr>
        <w:spacing w:after="80"/>
      </w:pPr>
      <w:r>
        <w:rPr>
          <w:rFonts w:ascii="Georgia" w:cs="Georgia" w:eastAsia="Georgia" w:hAnsi="Georgia"/>
          <w:color w:val="855023"/>
          <w:sz w:val="26"/>
          <w:szCs w:val="26"/>
        </w:rPr>
        <w:t xml:space="preserve">Georgia  ·  ABCDEFGHIJKLM  ·  abcdefghijklm  ·  0123456789</w:t>
      </w:r>
    </w:p>
    <w:p>
      <w:pPr>
        <w:spacing w:after="120" w:line="300"/>
      </w:pPr>
      <w:r>
        <w:rPr>
          <w:rFonts w:ascii="Verdana" w:cs="Verdana" w:eastAsia="Verdana" w:hAnsi="Verdana"/>
          <w:color w:val="2B1D0A"/>
          <w:sz w:val="21"/>
          <w:szCs w:val="21"/>
        </w:rPr>
        <w:t xml:space="preserve">Serifada, elegante e de forte legibilidade. Usada em títulos, cabeçalhos, nome da marca e chamadas de destaque. Transmite tradição e autoridade.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855023"/>
          <w:sz w:val="26"/>
          <w:szCs w:val="26"/>
        </w:rPr>
        <w:t xml:space="preserve">5.2  Verdana — Corpo de texto</w:t>
      </w:r>
    </w:p>
    <w:p>
      <w:pPr>
        <w:spacing w:after="80"/>
      </w:pPr>
      <w:r>
        <w:rPr>
          <w:rFonts w:ascii="Verdana" w:cs="Verdana" w:eastAsia="Verdana" w:hAnsi="Verdana"/>
          <w:color w:val="2B1D0A"/>
          <w:sz w:val="22"/>
          <w:szCs w:val="22"/>
        </w:rPr>
        <w:t xml:space="preserve">Verdana  ·  ABCDEFGHIJKLM  ·  abcdefghijklm  ·  0123456789</w:t>
      </w:r>
    </w:p>
    <w:p>
      <w:pPr>
        <w:spacing w:after="120" w:line="300"/>
      </w:pPr>
      <w:r>
        <w:rPr>
          <w:rFonts w:ascii="Verdana" w:cs="Verdana" w:eastAsia="Verdana" w:hAnsi="Verdana"/>
          <w:color w:val="2B1D0A"/>
          <w:sz w:val="21"/>
          <w:szCs w:val="21"/>
        </w:rPr>
        <w:t xml:space="preserve">Sem serifa, de excelente leitura em tela e em corpos pequenos. Usada em textos correntes, parágrafos, botões, formulários e interface.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855023"/>
          <w:sz w:val="26"/>
          <w:szCs w:val="26"/>
        </w:rPr>
        <w:t xml:space="preserve">5.3  Calibri — Corpo em apresentações</w:t>
      </w:r>
    </w:p>
    <w:p>
      <w:pPr>
        <w:spacing w:after="120" w:line="300"/>
      </w:pPr>
      <w:r>
        <w:rPr>
          <w:rFonts w:ascii="Verdana" w:cs="Verdana" w:eastAsia="Verdana" w:hAnsi="Verdana"/>
          <w:color w:val="2B1D0A"/>
          <w:sz w:val="21"/>
          <w:szCs w:val="21"/>
        </w:rPr>
        <w:t xml:space="preserve">Nas apresentações institucionais (decks), o corpo de texto usa Calibri sobre os títulos em Georgia. Para o sistema web/app, mantenha Verdana como corpo padrão.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855023"/>
          <w:sz w:val="26"/>
          <w:szCs w:val="26"/>
        </w:rPr>
        <w:t xml:space="preserve">5.4  Hierarquia recomendada (web/app)</w:t>
      </w:r>
    </w:p>
    <w:tbl>
      <w:tblPr>
        <w:tblW w:type="dxa" w:w="9400"/>
        <w:tblBorders>
          <w:top w:val="single" w:color="E3D9C4" w:sz="4"/>
          <w:left w:val="single" w:color="E3D9C4" w:sz="4"/>
          <w:bottom w:val="single" w:color="E3D9C4" w:sz="4"/>
          <w:right w:val="single" w:color="E3D9C4" w:sz="4"/>
          <w:insideH w:val="single" w:color="E3D9C4" w:sz="4"/>
          <w:insideV w:val="single" w:color="E3D9C4" w:sz="4"/>
        </w:tblBorders>
      </w:tblPr>
      <w:tblGrid>
        <w:gridCol w:w="2600"/>
        <w:gridCol w:w="3400"/>
        <w:gridCol w:w="3400"/>
      </w:tblGrid>
      <w:tr>
        <w:trPr>
          <w:tblHeader/>
        </w:trPr>
        <w:tc>
          <w:tcPr>
            <w:tcW w:type="dxa" w:w="2600"/>
            <w:shd w:fill="85502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7F1E4"/>
                <w:sz w:val="18"/>
                <w:szCs w:val="18"/>
              </w:rPr>
              <w:t xml:space="preserve">Nível</w:t>
            </w:r>
          </w:p>
        </w:tc>
        <w:tc>
          <w:tcPr>
            <w:tcW w:type="dxa" w:w="3400"/>
            <w:shd w:fill="85502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7F1E4"/>
                <w:sz w:val="18"/>
                <w:szCs w:val="18"/>
              </w:rPr>
              <w:t xml:space="preserve">Fonte / tamanho</w:t>
            </w:r>
          </w:p>
        </w:tc>
        <w:tc>
          <w:tcPr>
            <w:tcW w:type="dxa" w:w="3400"/>
            <w:shd w:fill="85502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7F1E4"/>
                <w:sz w:val="18"/>
                <w:szCs w:val="18"/>
              </w:rPr>
              <w:t xml:space="preserve">Cor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8"/>
                <w:szCs w:val="18"/>
              </w:rPr>
              <w:t xml:space="preserve">H1</w:t>
            </w:r>
          </w:p>
        </w:tc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8"/>
                <w:szCs w:val="18"/>
              </w:rPr>
              <w:t xml:space="preserve">Georgia bold · 36 px</w:t>
            </w:r>
          </w:p>
        </w:tc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8"/>
                <w:szCs w:val="18"/>
              </w:rPr>
              <w:t xml:space="preserve">Marrom #855023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8"/>
                <w:szCs w:val="18"/>
              </w:rPr>
              <w:t xml:space="preserve">H2</w:t>
            </w:r>
          </w:p>
        </w:tc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8"/>
                <w:szCs w:val="18"/>
              </w:rPr>
              <w:t xml:space="preserve">Georgia bold · 28 px</w:t>
            </w:r>
          </w:p>
        </w:tc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8"/>
                <w:szCs w:val="18"/>
              </w:rPr>
              <w:t xml:space="preserve">Marrom #855023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8"/>
                <w:szCs w:val="18"/>
              </w:rPr>
              <w:t xml:space="preserve">H3</w:t>
            </w:r>
          </w:p>
        </w:tc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8"/>
                <w:szCs w:val="18"/>
              </w:rPr>
              <w:t xml:space="preserve">Georgia · 22 px</w:t>
            </w:r>
          </w:p>
        </w:tc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8"/>
                <w:szCs w:val="18"/>
              </w:rPr>
              <w:t xml:space="preserve">Ébano #2B1D0A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8"/>
                <w:szCs w:val="18"/>
              </w:rPr>
              <w:t xml:space="preserve">Corpo</w:t>
            </w:r>
          </w:p>
        </w:tc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8"/>
                <w:szCs w:val="18"/>
              </w:rPr>
              <w:t xml:space="preserve">Verdana · 16 px</w:t>
            </w:r>
          </w:p>
        </w:tc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8"/>
                <w:szCs w:val="18"/>
              </w:rPr>
              <w:t xml:space="preserve">Ébano #2B1D0A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8"/>
                <w:szCs w:val="18"/>
              </w:rPr>
              <w:t xml:space="preserve">Legenda</w:t>
            </w:r>
          </w:p>
        </w:tc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8"/>
                <w:szCs w:val="18"/>
              </w:rPr>
              <w:t xml:space="preserve">Verdana · 14 px</w:t>
            </w:r>
          </w:p>
        </w:tc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8"/>
                <w:szCs w:val="18"/>
              </w:rPr>
              <w:t xml:space="preserve">Bronze #9C8C6E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Georgia" w:cs="Georgia" w:eastAsia="Georgia" w:hAnsi="Georgia"/>
          <w:b/>
          <w:bCs/>
          <w:color w:val="855023"/>
          <w:sz w:val="32"/>
          <w:szCs w:val="32"/>
        </w:rPr>
        <w:t xml:space="preserve">6. Tokens de design (para desenvolvimento)</w:t>
      </w:r>
    </w:p>
    <w:p>
      <w:pPr>
        <w:spacing w:after="120" w:line="300"/>
      </w:pPr>
      <w:r>
        <w:rPr>
          <w:rFonts w:ascii="Verdana" w:cs="Verdana" w:eastAsia="Verdana" w:hAnsi="Verdana"/>
          <w:color w:val="2B1D0A"/>
          <w:sz w:val="21"/>
          <w:szCs w:val="21"/>
        </w:rPr>
        <w:t xml:space="preserve">Para acelerar o desenvolvimento, a identidade foi convertida em tokens prontos para consumo. Dois arquivos acompanham este manual: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Verdana" w:cs="Verdana" w:eastAsia="Verdana" w:hAnsi="Verdana"/>
          <w:color w:val="2B1D0A"/>
          <w:sz w:val="21"/>
          <w:szCs w:val="21"/>
        </w:rPr>
        <w:t xml:space="preserve">mason-connect-tokens.css — variáveis CSS (custom properties) com cores, tipografia, espaçamento, raio e sombras, além de classes de exemplo para botões e links.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Verdana" w:cs="Verdana" w:eastAsia="Verdana" w:hAnsi="Verdana"/>
          <w:color w:val="2B1D0A"/>
          <w:sz w:val="21"/>
          <w:szCs w:val="21"/>
        </w:rPr>
        <w:t xml:space="preserve">mason-connect-tokens.json — mesmos tokens em formato JSON (compatível com Style Dictionary / consumo programático em qualquer stack).</w:t>
      </w:r>
    </w:p>
    <w:p>
      <w:pPr>
        <w:spacing w:after="120" w:line="300"/>
      </w:pPr>
      <w:r>
        <w:rPr>
          <w:rFonts w:ascii="Verdana" w:cs="Verdana" w:eastAsia="Verdana" w:hAnsi="Verdana"/>
          <w:color w:val="2B1D0A"/>
          <w:sz w:val="21"/>
          <w:szCs w:val="21"/>
        </w:rPr>
        <w:t xml:space="preserve">Recomenda-se usar os "papéis semânticos" (--mc-primary, --mc-accent, --mc-bg, --mc-text) em vez das cores cruas, para que ajustes futuros de tema sejam centralizados.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855023"/>
          <w:sz w:val="26"/>
          <w:szCs w:val="26"/>
        </w:rPr>
        <w:t xml:space="preserve">6.1  Referência rápida de variáveis</w:t>
      </w:r>
    </w:p>
    <w:p>
      <w:pPr>
        <w:shd w:fill="2B1D0A" w:color="auto" w:val="clear"/>
        <w:spacing w:after="0" w:before="80" w:line="280"/>
      </w:pPr>
      <w:r>
        <w:rPr>
          <w:rFonts w:ascii="Consolas" w:cs="Consolas" w:eastAsia="Consolas" w:hAnsi="Consolas"/>
          <w:color w:val="F5EDD6"/>
          <w:sz w:val="18"/>
          <w:szCs w:val="18"/>
        </w:rPr>
        <w:t xml:space="preserve">--mc-primary: #855023;   /* ações primárias */</w:t>
      </w:r>
    </w:p>
    <w:p>
      <w:pPr>
        <w:shd w:fill="2B1D0A" w:color="auto" w:val="clear"/>
        <w:spacing w:after="0" w:line="280"/>
      </w:pPr>
      <w:r>
        <w:rPr>
          <w:rFonts w:ascii="Consolas" w:cs="Consolas" w:eastAsia="Consolas" w:hAnsi="Consolas"/>
          <w:color w:val="F5EDD6"/>
          <w:sz w:val="18"/>
          <w:szCs w:val="18"/>
        </w:rPr>
        <w:t xml:space="preserve">--mc-accent:  #CAAA67;   /* destaques / links */</w:t>
      </w:r>
    </w:p>
    <w:p>
      <w:pPr>
        <w:shd w:fill="2B1D0A" w:color="auto" w:val="clear"/>
        <w:spacing w:after="0" w:line="280"/>
      </w:pPr>
      <w:r>
        <w:rPr>
          <w:rFonts w:ascii="Consolas" w:cs="Consolas" w:eastAsia="Consolas" w:hAnsi="Consolas"/>
          <w:color w:val="F5EDD6"/>
          <w:sz w:val="18"/>
          <w:szCs w:val="18"/>
        </w:rPr>
        <w:t xml:space="preserve">--mc-bg:      #F7F1E4;   /* fundo de página  */</w:t>
      </w:r>
    </w:p>
    <w:p>
      <w:pPr>
        <w:shd w:fill="2B1D0A" w:color="auto" w:val="clear"/>
        <w:spacing w:after="0" w:line="280"/>
      </w:pPr>
      <w:r>
        <w:rPr>
          <w:rFonts w:ascii="Consolas" w:cs="Consolas" w:eastAsia="Consolas" w:hAnsi="Consolas"/>
          <w:color w:val="F5EDD6"/>
          <w:sz w:val="18"/>
          <w:szCs w:val="18"/>
        </w:rPr>
        <w:t xml:space="preserve">--mc-text:    #2B1D0A;   /* texto principal  */</w:t>
      </w:r>
    </w:p>
    <w:p>
      <w:pPr>
        <w:shd w:fill="2B1D0A" w:color="auto" w:val="clear"/>
        <w:spacing w:after="0" w:line="280"/>
      </w:pPr>
      <w:r>
        <w:rPr>
          <w:rFonts w:ascii="Consolas" w:cs="Consolas" w:eastAsia="Consolas" w:hAnsi="Consolas"/>
          <w:color w:val="F5EDD6"/>
          <w:sz w:val="18"/>
          <w:szCs w:val="18"/>
        </w:rPr>
        <w:t xml:space="preserve">--mc-font-heading: Georgia, serif;</w:t>
      </w:r>
    </w:p>
    <w:p>
      <w:pPr>
        <w:shd w:fill="2B1D0A" w:color="auto" w:val="clear"/>
        <w:spacing w:after="0" w:line="280"/>
      </w:pPr>
      <w:r>
        <w:rPr>
          <w:rFonts w:ascii="Consolas" w:cs="Consolas" w:eastAsia="Consolas" w:hAnsi="Consolas"/>
          <w:color w:val="F5EDD6"/>
          <w:sz w:val="18"/>
          <w:szCs w:val="18"/>
        </w:rPr>
        <w:t xml:space="preserve">--mc-font-body:    Verdana, sans-serif;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Georgia" w:cs="Georgia" w:eastAsia="Georgia" w:hAnsi="Georgia"/>
          <w:b/>
          <w:bCs/>
          <w:color w:val="855023"/>
          <w:sz w:val="32"/>
          <w:szCs w:val="32"/>
        </w:rPr>
        <w:t xml:space="preserve">7. Aplicação em interface (UI)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855023"/>
          <w:sz w:val="26"/>
          <w:szCs w:val="26"/>
        </w:rPr>
        <w:t xml:space="preserve">7.1  Botões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Verdana" w:cs="Verdana" w:eastAsia="Verdana" w:hAnsi="Verdana"/>
          <w:color w:val="2B1D0A"/>
          <w:sz w:val="21"/>
          <w:szCs w:val="21"/>
        </w:rPr>
        <w:t xml:space="preserve">Primário: fundo marrom #855023, texto creme #F7F1E4; hover #6E4116; raio 8 px.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Verdana" w:cs="Verdana" w:eastAsia="Verdana" w:hAnsi="Verdana"/>
          <w:color w:val="2B1D0A"/>
          <w:sz w:val="21"/>
          <w:szCs w:val="21"/>
        </w:rPr>
        <w:t xml:space="preserve">Secundário: fundo transparente, borda marrom 1,5 px, texto marrom; mesmo raio.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Verdana" w:cs="Verdana" w:eastAsia="Verdana" w:hAnsi="Verdana"/>
          <w:color w:val="2B1D0A"/>
          <w:sz w:val="21"/>
          <w:szCs w:val="21"/>
        </w:rPr>
        <w:t xml:space="preserve">Terciário / link: texto marrom com sublinhado dourado.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855023"/>
          <w:sz w:val="26"/>
          <w:szCs w:val="26"/>
        </w:rPr>
        <w:t xml:space="preserve">7.2  Fundos e superfícies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Verdana" w:cs="Verdana" w:eastAsia="Verdana" w:hAnsi="Verdana"/>
          <w:color w:val="2B1D0A"/>
          <w:sz w:val="21"/>
          <w:szCs w:val="21"/>
        </w:rPr>
        <w:t xml:space="preserve">Fundo de página (tema claro): creme #F7F1E4.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Verdana" w:cs="Verdana" w:eastAsia="Verdana" w:hAnsi="Verdana"/>
          <w:color w:val="2B1D0A"/>
          <w:sz w:val="21"/>
          <w:szCs w:val="21"/>
        </w:rPr>
        <w:t xml:space="preserve">Cartões / superfícies: branco #FFFFFF com sombra suave (0 2px 8px rgba(43,29,10,.12)).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Verdana" w:cs="Verdana" w:eastAsia="Verdana" w:hAnsi="Verdana"/>
          <w:color w:val="2B1D0A"/>
          <w:sz w:val="21"/>
          <w:szCs w:val="21"/>
        </w:rPr>
        <w:t xml:space="preserve">Tema escuro / telas institucionais: fundo navy #1A1F2E, cartões #243352.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855023"/>
          <w:sz w:val="26"/>
          <w:szCs w:val="26"/>
        </w:rPr>
        <w:t xml:space="preserve">7.3  Texto e contraste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Verdana" w:cs="Verdana" w:eastAsia="Verdana" w:hAnsi="Verdana"/>
          <w:color w:val="2B1D0A"/>
          <w:sz w:val="21"/>
          <w:szCs w:val="21"/>
        </w:rPr>
        <w:t xml:space="preserve">Texto principal: ébano #2B1D0A sobre fundos claros; creme #F5EDD6 sobre fundos escuros.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Verdana" w:cs="Verdana" w:eastAsia="Verdana" w:hAnsi="Verdana"/>
          <w:color w:val="2B1D0A"/>
          <w:sz w:val="21"/>
          <w:szCs w:val="21"/>
        </w:rPr>
        <w:t xml:space="preserve">Texto secundário / legendas: bronze #9C8C6E.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Verdana" w:cs="Verdana" w:eastAsia="Verdana" w:hAnsi="Verdana"/>
          <w:color w:val="2B1D0A"/>
          <w:sz w:val="21"/>
          <w:szCs w:val="21"/>
        </w:rPr>
        <w:t xml:space="preserve">Evitar dourado em texto pequeno sobre creme — contraste insuficiente; reservar o dourado para acentos, ícones e bordas.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855023"/>
          <w:sz w:val="26"/>
          <w:szCs w:val="26"/>
        </w:rPr>
        <w:t xml:space="preserve">7.4  Chamadas para ação (CTA)</w:t>
      </w:r>
    </w:p>
    <w:p>
      <w:pPr>
        <w:spacing w:after="120" w:line="300"/>
      </w:pPr>
      <w:r>
        <w:rPr>
          <w:rFonts w:ascii="Verdana" w:cs="Verdana" w:eastAsia="Verdana" w:hAnsi="Verdana"/>
          <w:color w:val="2B1D0A"/>
          <w:sz w:val="21"/>
          <w:szCs w:val="21"/>
        </w:rPr>
        <w:t xml:space="preserve">A identidade da Mason Connect é de rede fechada por avaliação. As CTAs institucionais devem conduzir a "Solicite avaliação" (e não a cadastro aberto), preservando o modelo de membresia por convite.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Georgia" w:cs="Georgia" w:eastAsia="Georgia" w:hAnsi="Georgia"/>
          <w:b/>
          <w:bCs/>
          <w:color w:val="855023"/>
          <w:sz w:val="32"/>
          <w:szCs w:val="32"/>
        </w:rPr>
        <w:t xml:space="preserve">8. Arquivos entregues</w:t>
      </w:r>
    </w:p>
    <w:p>
      <w:pPr>
        <w:spacing w:after="120" w:line="300"/>
      </w:pPr>
      <w:r>
        <w:rPr>
          <w:rFonts w:ascii="Verdana" w:cs="Verdana" w:eastAsia="Verdana" w:hAnsi="Verdana"/>
          <w:color w:val="2B1D0A"/>
          <w:sz w:val="21"/>
          <w:szCs w:val="21"/>
        </w:rPr>
        <w:t xml:space="preserve">O pacote enviado ao desenvolvedor contém:</w:t>
      </w:r>
    </w:p>
    <w:tbl>
      <w:tblPr>
        <w:tblW w:type="dxa" w:w="9400"/>
        <w:tblBorders>
          <w:top w:val="single" w:color="E3D9C4" w:sz="4"/>
          <w:left w:val="single" w:color="E3D9C4" w:sz="4"/>
          <w:bottom w:val="single" w:color="E3D9C4" w:sz="4"/>
          <w:right w:val="single" w:color="E3D9C4" w:sz="4"/>
          <w:insideH w:val="single" w:color="E3D9C4" w:sz="4"/>
          <w:insideV w:val="single" w:color="E3D9C4" w:sz="4"/>
        </w:tblBorders>
      </w:tblPr>
      <w:tblGrid>
        <w:gridCol w:w="4200"/>
        <w:gridCol w:w="5200"/>
      </w:tblGrid>
      <w:tr>
        <w:trPr>
          <w:tblHeader/>
        </w:trPr>
        <w:tc>
          <w:tcPr>
            <w:tcW w:type="dxa" w:w="4200"/>
            <w:shd w:fill="85502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7F1E4"/>
                <w:sz w:val="18"/>
                <w:szCs w:val="18"/>
              </w:rPr>
              <w:t xml:space="preserve">Arquivo</w:t>
            </w:r>
          </w:p>
        </w:tc>
        <w:tc>
          <w:tcPr>
            <w:tcW w:type="dxa" w:w="5200"/>
            <w:shd w:fill="85502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7F1E4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8"/>
                <w:szCs w:val="18"/>
              </w:rPr>
              <w:t xml:space="preserve">Logo_MasonConnect_original.jpeg</w:t>
            </w:r>
          </w:p>
        </w:tc>
        <w:tc>
          <w:tcPr>
            <w:tcW w:type="dxa" w:w="5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8"/>
                <w:szCs w:val="18"/>
              </w:rPr>
              <w:t xml:space="preserve">Logomarca original (fundo claro, JPEG).</w:t>
            </w:r>
          </w:p>
        </w:tc>
      </w:tr>
      <w:tr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8"/>
                <w:szCs w:val="18"/>
              </w:rPr>
              <w:t xml:space="preserve">Logo_MasonConnect_transparente.png</w:t>
            </w:r>
          </w:p>
        </w:tc>
        <w:tc>
          <w:tcPr>
            <w:tcW w:type="dxa" w:w="5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8"/>
                <w:szCs w:val="18"/>
              </w:rPr>
              <w:t xml:space="preserve">Logomarca fundo transparente — uso em fundos claros.</w:t>
            </w:r>
          </w:p>
        </w:tc>
      </w:tr>
      <w:tr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8"/>
                <w:szCs w:val="18"/>
              </w:rPr>
              <w:t xml:space="preserve">Logo_MasonConnect_dourado_fundo-escuro.png</w:t>
            </w:r>
          </w:p>
        </w:tc>
        <w:tc>
          <w:tcPr>
            <w:tcW w:type="dxa" w:w="5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8"/>
                <w:szCs w:val="18"/>
              </w:rPr>
              <w:t xml:space="preserve">Versão dourada, transparente — uso em fundos escuros.</w:t>
            </w:r>
          </w:p>
        </w:tc>
      </w:tr>
      <w:tr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8"/>
                <w:szCs w:val="18"/>
              </w:rPr>
              <w:t xml:space="preserve">Logo_MasonConnect_recortado_transparente.png</w:t>
            </w:r>
          </w:p>
        </w:tc>
        <w:tc>
          <w:tcPr>
            <w:tcW w:type="dxa" w:w="5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8"/>
                <w:szCs w:val="18"/>
              </w:rPr>
              <w:t xml:space="preserve">Ícone / monograma — favicon, app, avatar.</w:t>
            </w:r>
          </w:p>
        </w:tc>
      </w:tr>
      <w:tr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8"/>
                <w:szCs w:val="18"/>
              </w:rPr>
              <w:t xml:space="preserve">mason-connect-tokens.css</w:t>
            </w:r>
          </w:p>
        </w:tc>
        <w:tc>
          <w:tcPr>
            <w:tcW w:type="dxa" w:w="5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8"/>
                <w:szCs w:val="18"/>
              </w:rPr>
              <w:t xml:space="preserve">Tokens CSS (variáveis de cor, tipografia, espaçamento).</w:t>
            </w:r>
          </w:p>
        </w:tc>
      </w:tr>
      <w:tr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8"/>
                <w:szCs w:val="18"/>
              </w:rPr>
              <w:t xml:space="preserve">mason-connect-tokens.json</w:t>
            </w:r>
          </w:p>
        </w:tc>
        <w:tc>
          <w:tcPr>
            <w:tcW w:type="dxa" w:w="5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8"/>
                <w:szCs w:val="18"/>
              </w:rPr>
              <w:t xml:space="preserve">Tokens JSON para consumo programático.</w:t>
            </w:r>
          </w:p>
        </w:tc>
      </w:tr>
      <w:tr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8"/>
                <w:szCs w:val="18"/>
              </w:rPr>
              <w:t xml:space="preserve">Manual_Identidade_Visual_MasonConnect.pdf</w:t>
            </w:r>
          </w:p>
        </w:tc>
        <w:tc>
          <w:tcPr>
            <w:tcW w:type="dxa" w:w="5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Verdana" w:cs="Verdana" w:eastAsia="Verdana" w:hAnsi="Verdana"/>
                <w:color w:val="2B1D0A"/>
                <w:sz w:val="18"/>
                <w:szCs w:val="18"/>
              </w:rPr>
              <w:t xml:space="preserve">Este documento em PDF.</w:t>
            </w:r>
          </w:p>
        </w:tc>
      </w:tr>
    </w:tbl>
    <w:p>
      <w:pPr>
        <w:spacing w:before="240"/>
      </w:pPr>
    </w:p>
    <w:p>
      <w:pPr>
        <w:spacing w:after="120" w:line="300"/>
      </w:pPr>
      <w:r>
        <w:rPr>
          <w:rFonts w:ascii="Verdana" w:cs="Verdana" w:eastAsia="Verdana" w:hAnsi="Verdana"/>
          <w:b/>
          <w:bCs/>
          <w:color w:val="855023"/>
          <w:sz w:val="20"/>
          <w:szCs w:val="20"/>
        </w:rPr>
        <w:t xml:space="preserve">Contato: </w:t>
      </w:r>
      <w:r>
        <w:rPr>
          <w:rFonts w:ascii="Verdana" w:cs="Verdana" w:eastAsia="Verdana" w:hAnsi="Verdana"/>
          <w:color w:val="2B1D0A"/>
          <w:sz w:val="20"/>
          <w:szCs w:val="20"/>
        </w:rPr>
        <w:t xml:space="preserve">FONS Consultoria — Secretaria e Estruturação Organizacional Mason Connect.</w:t>
      </w:r>
    </w:p>
    <w:sectPr>
      <w:headerReference w:type="default" r:id="rId7"/>
      <w:footerReference w:type="default" r:id="rId8"/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Verdana" w:cs="Verdana" w:eastAsia="Verdana" w:hAnsi="Verdana"/>
        <w:color w:val="9C8C6E"/>
        <w:sz w:val="14"/>
        <w:szCs w:val="14"/>
      </w:rPr>
      <w:t xml:space="preserve">FONS Consultoria  ·  Documento confidencial  ·  pág.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D9C4" w:sz="4" w:space="4"/>
      </w:pBdr>
      <w:spacing w:after="0"/>
      <w:jc w:val="right"/>
    </w:pPr>
    <w:r>
      <w:rPr>
        <w:rFonts w:ascii="Georgia" w:cs="Georgia" w:eastAsia="Georgia" w:hAnsi="Georgia"/>
        <w:color w:val="9C8C6E"/>
        <w:sz w:val="14"/>
        <w:szCs w:val="14"/>
      </w:rPr>
      <w:t xml:space="preserve">MASON CONNECT  ·  Identidade Visual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855023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color w:val="2B1D0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a95da290997aa6e782146c5a984d8bd2caaeae6.png"/><Relationship Id="rId10" Type="http://schemas.openxmlformats.org/officeDocument/2006/relationships/image" Target="media/259ff140dbca9909819d4d491800c6152df62f4d.png"/><Relationship Id="rId11" Type="http://schemas.openxmlformats.org/officeDocument/2006/relationships/image" Target="media/8e972e449c83514eb2bd40b8c867b5b6fd0c8b84.png"/><Relationship Id="rId12" Type="http://schemas.openxmlformats.org/officeDocument/2006/relationships/image" Target="media/cc90275e5b71b445bbb3b7a091a627d0a648505f.png"/><Relationship Id="rId13" Type="http://schemas.openxmlformats.org/officeDocument/2006/relationships/image" Target="media/d79fe5e177c632ef5441438e9dfae3ae735b5708.png"/><Relationship Id="rId14" Type="http://schemas.openxmlformats.org/officeDocument/2006/relationships/image" Target="media/2b0a04d139752ba3204771b00ed2942e87da293d.png"/><Relationship Id="rId15" Type="http://schemas.openxmlformats.org/officeDocument/2006/relationships/image" Target="media/c8c99aff689ac6290605f0880447b05edc37bed3.png"/><Relationship Id="rId16" Type="http://schemas.openxmlformats.org/officeDocument/2006/relationships/image" Target="media/ab7e0960c5d48ebafd88892c0539323fd7b4701a.png"/><Relationship Id="rId17" Type="http://schemas.openxmlformats.org/officeDocument/2006/relationships/image" Target="media/62ee53c2ef9b36c96db820f2013a8fa594bb21a9.png"/><Relationship Id="rId18" Type="http://schemas.openxmlformats.org/officeDocument/2006/relationships/image" Target="media/2cbe3b3512e3dd1b76b1b9d9d65a23b498e2f596.png"/><Relationship Id="rId19" Type="http://schemas.openxmlformats.org/officeDocument/2006/relationships/image" Target="media/4645886229c74bb01188bdf0bf1eca5a2e292bf3.png"/><Relationship Id="rId20" Type="http://schemas.openxmlformats.org/officeDocument/2006/relationships/image" Target="media/b5d60c0a9c2297cb585f21e104519e5aecb82bee.png"/><Relationship Id="rId21" Type="http://schemas.openxmlformats.org/officeDocument/2006/relationships/image" Target="media/c0fb075915b1ed11406a6affae63fd51341fc250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Identidade Visual — Mason Connect</dc:title>
  <dc:creator>FONS Consultoria</dc:creator>
  <cp:lastModifiedBy>Un-named</cp:lastModifiedBy>
  <cp:revision>1</cp:revision>
  <dcterms:created xsi:type="dcterms:W3CDTF">2026-07-31T13:23:28.859Z</dcterms:created>
  <dcterms:modified xsi:type="dcterms:W3CDTF">2026-07-31T13:23:28.874Z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