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733BC" w14:textId="77777777" w:rsidR="00963C4F" w:rsidRDefault="00963C4F">
      <w:pPr>
        <w:spacing w:after="1200"/>
      </w:pPr>
    </w:p>
    <w:p w14:paraId="74A733BD" w14:textId="77777777" w:rsidR="00963C4F" w:rsidRDefault="00000000">
      <w:pPr>
        <w:spacing w:after="420"/>
        <w:jc w:val="center"/>
      </w:pPr>
      <w:r>
        <w:rPr>
          <w:noProof/>
        </w:rPr>
        <w:drawing>
          <wp:inline distT="0" distB="0" distL="0" distR="0" wp14:anchorId="74A73447" wp14:editId="74A73448">
            <wp:extent cx="1619250" cy="14382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33BE" w14:textId="77777777" w:rsidR="00963C4F" w:rsidRDefault="00000000">
      <w:pPr>
        <w:spacing w:after="80"/>
        <w:jc w:val="center"/>
      </w:pPr>
      <w:r>
        <w:rPr>
          <w:rFonts w:ascii="Trebuchet MS" w:eastAsia="Trebuchet MS" w:hAnsi="Trebuchet MS" w:cs="Trebuchet MS"/>
          <w:b/>
          <w:bCs/>
          <w:color w:val="855023"/>
          <w:sz w:val="56"/>
          <w:szCs w:val="56"/>
        </w:rPr>
        <w:t>MASON CONNECT</w:t>
      </w:r>
    </w:p>
    <w:p w14:paraId="74A733BF" w14:textId="77777777" w:rsidR="00963C4F" w:rsidRDefault="00000000">
      <w:pPr>
        <w:spacing w:after="340"/>
        <w:jc w:val="center"/>
      </w:pPr>
      <w:r>
        <w:rPr>
          <w:rFonts w:ascii="Trebuchet MS" w:eastAsia="Trebuchet MS" w:hAnsi="Trebuchet MS" w:cs="Trebuchet MS"/>
          <w:color w:val="CAAA67"/>
          <w:sz w:val="24"/>
          <w:szCs w:val="24"/>
        </w:rPr>
        <w:t>Projeto de Engenharia de Software — Bloco A: Fundação</w:t>
      </w:r>
    </w:p>
    <w:p w14:paraId="74A733C0" w14:textId="77777777" w:rsidR="00963C4F" w:rsidRDefault="00000000">
      <w:pPr>
        <w:spacing w:after="80"/>
        <w:jc w:val="center"/>
      </w:pPr>
      <w:r>
        <w:rPr>
          <w:b/>
          <w:bCs/>
          <w:color w:val="6B4A2B"/>
        </w:rPr>
        <w:t>DOCUMENTO 01 / BLOCO A</w:t>
      </w:r>
    </w:p>
    <w:p w14:paraId="74A733C1" w14:textId="77777777" w:rsidR="00963C4F" w:rsidRDefault="00000000">
      <w:pPr>
        <w:spacing w:after="120"/>
        <w:jc w:val="center"/>
      </w:pPr>
      <w:r>
        <w:rPr>
          <w:rFonts w:ascii="Trebuchet MS" w:eastAsia="Trebuchet MS" w:hAnsi="Trebuchet MS" w:cs="Trebuchet MS"/>
          <w:b/>
          <w:bCs/>
          <w:sz w:val="34"/>
          <w:szCs w:val="34"/>
        </w:rPr>
        <w:t>Documento de Visão do Produto</w:t>
      </w:r>
    </w:p>
    <w:p w14:paraId="74A733C2" w14:textId="77777777" w:rsidR="00963C4F" w:rsidRDefault="00000000">
      <w:pPr>
        <w:spacing w:after="800"/>
        <w:jc w:val="center"/>
      </w:pPr>
      <w:r>
        <w:rPr>
          <w:i/>
          <w:iCs/>
          <w:sz w:val="19"/>
          <w:szCs w:val="19"/>
        </w:rPr>
        <w:t>O porquê do sistema: problema, valor, público e métricas de sucesso</w:t>
      </w:r>
    </w:p>
    <w:p w14:paraId="74A733C3" w14:textId="77777777" w:rsidR="00963C4F" w:rsidRDefault="00000000">
      <w:pPr>
        <w:spacing w:after="60"/>
        <w:jc w:val="center"/>
      </w:pPr>
      <w:r>
        <w:rPr>
          <w:sz w:val="19"/>
          <w:szCs w:val="19"/>
        </w:rPr>
        <w:t xml:space="preserve">Versão </w:t>
      </w:r>
      <w:proofErr w:type="gramStart"/>
      <w:r>
        <w:rPr>
          <w:sz w:val="19"/>
          <w:szCs w:val="19"/>
        </w:rPr>
        <w:t>1.0  •</w:t>
      </w:r>
      <w:proofErr w:type="gramEnd"/>
      <w:r>
        <w:rPr>
          <w:sz w:val="19"/>
          <w:szCs w:val="19"/>
        </w:rPr>
        <w:t xml:space="preserve">  Julho de </w:t>
      </w:r>
      <w:proofErr w:type="gramStart"/>
      <w:r>
        <w:rPr>
          <w:sz w:val="19"/>
          <w:szCs w:val="19"/>
        </w:rPr>
        <w:t>2026  •</w:t>
      </w:r>
      <w:proofErr w:type="gramEnd"/>
      <w:r>
        <w:rPr>
          <w:sz w:val="19"/>
          <w:szCs w:val="19"/>
        </w:rPr>
        <w:t xml:space="preserve">  Elaboração: FONS Consultoria</w:t>
      </w:r>
    </w:p>
    <w:p w14:paraId="74A733C4" w14:textId="77777777" w:rsidR="00963C4F" w:rsidRDefault="00000000">
      <w:pPr>
        <w:jc w:val="center"/>
      </w:pPr>
      <w:r>
        <w:rPr>
          <w:b/>
          <w:bCs/>
          <w:color w:val="855023"/>
          <w:sz w:val="17"/>
          <w:szCs w:val="17"/>
        </w:rPr>
        <w:t>DOCUMENTO CONFIDENCIAL</w:t>
      </w:r>
    </w:p>
    <w:p w14:paraId="74A733C5" w14:textId="77777777" w:rsidR="00963C4F" w:rsidRDefault="00000000">
      <w:r>
        <w:br w:type="page"/>
      </w:r>
    </w:p>
    <w:p w14:paraId="74A733C6" w14:textId="77777777" w:rsidR="00963C4F" w:rsidRDefault="00963C4F">
      <w:pPr>
        <w:sectPr w:rsidR="00963C4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4A733C7" w14:textId="77777777" w:rsidR="00963C4F" w:rsidRDefault="00000000">
      <w:pPr>
        <w:spacing w:after="240"/>
      </w:pPr>
      <w:r>
        <w:rPr>
          <w:rFonts w:ascii="Trebuchet MS" w:eastAsia="Trebuchet MS" w:hAnsi="Trebuchet MS" w:cs="Trebuchet MS"/>
          <w:b/>
          <w:bCs/>
          <w:color w:val="855023"/>
          <w:sz w:val="30"/>
          <w:szCs w:val="30"/>
        </w:rPr>
        <w:lastRenderedPageBreak/>
        <w:t>SUMÁRIO</w:t>
      </w:r>
    </w:p>
    <w:sdt>
      <w:sdtPr>
        <w:alias w:val="Sumário"/>
        <w:id w:val="-758827689"/>
      </w:sdtPr>
      <w:sdtContent>
        <w:p w14:paraId="6F4A536A" w14:textId="2DFBEFBE" w:rsidR="00106F4F" w:rsidRDefault="00000000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052267" w:history="1">
            <w:r w:rsidR="00106F4F" w:rsidRPr="00AF4DBA">
              <w:rPr>
                <w:rStyle w:val="Hyperlink"/>
                <w:rFonts w:ascii="Trebuchet MS" w:eastAsia="Trebuchet MS" w:hAnsi="Trebuchet MS" w:cs="Trebuchet MS"/>
                <w:b/>
                <w:bCs/>
                <w:noProof/>
              </w:rPr>
              <w:t>1. Propósito deste Documento</w:t>
            </w:r>
            <w:r w:rsidR="00106F4F">
              <w:rPr>
                <w:noProof/>
              </w:rPr>
              <w:tab/>
            </w:r>
            <w:r w:rsidR="00106F4F">
              <w:rPr>
                <w:noProof/>
              </w:rPr>
              <w:fldChar w:fldCharType="begin"/>
            </w:r>
            <w:r w:rsidR="00106F4F">
              <w:rPr>
                <w:noProof/>
              </w:rPr>
              <w:instrText xml:space="preserve"> PAGEREF _Toc234052267 \h </w:instrText>
            </w:r>
            <w:r w:rsidR="00106F4F">
              <w:rPr>
                <w:noProof/>
              </w:rPr>
            </w:r>
            <w:r w:rsidR="00106F4F">
              <w:rPr>
                <w:noProof/>
              </w:rPr>
              <w:fldChar w:fldCharType="separate"/>
            </w:r>
            <w:r w:rsidR="00106F4F">
              <w:rPr>
                <w:noProof/>
              </w:rPr>
              <w:t>3</w:t>
            </w:r>
            <w:r w:rsidR="00106F4F">
              <w:rPr>
                <w:noProof/>
              </w:rPr>
              <w:fldChar w:fldCharType="end"/>
            </w:r>
          </w:hyperlink>
        </w:p>
        <w:p w14:paraId="116F0DFC" w14:textId="02659196" w:rsidR="00106F4F" w:rsidRDefault="00106F4F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052268" w:history="1">
            <w:r w:rsidRPr="00AF4DBA">
              <w:rPr>
                <w:rStyle w:val="Hyperlink"/>
                <w:rFonts w:ascii="Trebuchet MS" w:eastAsia="Trebuchet MS" w:hAnsi="Trebuchet MS" w:cs="Trebuchet MS"/>
                <w:b/>
                <w:bCs/>
                <w:noProof/>
              </w:rPr>
              <w:t>2. O Problema e a Oportunidade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C78356A" w14:textId="3EA0D4AE" w:rsidR="00106F4F" w:rsidRDefault="00106F4F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052269" w:history="1">
            <w:r w:rsidRPr="00AF4DBA">
              <w:rPr>
                <w:rStyle w:val="Hyperlink"/>
                <w:rFonts w:ascii="Trebuchet MS" w:eastAsia="Trebuchet MS" w:hAnsi="Trebuchet MS" w:cs="Trebuchet MS"/>
                <w:b/>
                <w:bCs/>
                <w:noProof/>
              </w:rPr>
              <w:t>3. Declaração de Visão do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A61E8A" w14:textId="52B88214" w:rsidR="00106F4F" w:rsidRDefault="00106F4F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052270" w:history="1">
            <w:r w:rsidRPr="00AF4DBA">
              <w:rPr>
                <w:rStyle w:val="Hyperlink"/>
                <w:rFonts w:ascii="Trebuchet MS" w:eastAsia="Trebuchet MS" w:hAnsi="Trebuchet MS" w:cs="Trebuchet MS"/>
                <w:b/>
                <w:bCs/>
                <w:noProof/>
              </w:rPr>
              <w:t>4. Públicos e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1EE77DD" w14:textId="71FDAEB2" w:rsidR="00106F4F" w:rsidRDefault="00106F4F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052271" w:history="1">
            <w:r w:rsidRPr="00AF4DBA">
              <w:rPr>
                <w:rStyle w:val="Hyperlink"/>
                <w:rFonts w:ascii="Trebuchet MS" w:eastAsia="Trebuchet MS" w:hAnsi="Trebuchet MS" w:cs="Trebuchet MS"/>
                <w:b/>
                <w:bCs/>
                <w:noProof/>
              </w:rPr>
              <w:t>5. Proposta de Valor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792A0F" w14:textId="74BDF342" w:rsidR="00106F4F" w:rsidRDefault="00106F4F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052272" w:history="1">
            <w:r w:rsidRPr="00AF4DBA">
              <w:rPr>
                <w:rStyle w:val="Hyperlink"/>
                <w:rFonts w:ascii="Trebuchet MS" w:eastAsia="Trebuchet MS" w:hAnsi="Trebuchet MS" w:cs="Trebuchet MS"/>
                <w:b/>
                <w:bCs/>
                <w:noProof/>
              </w:rPr>
              <w:t>6. Objetivos de Negócio e Métricas de Sucesso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4F53F2" w14:textId="0674A754" w:rsidR="00106F4F" w:rsidRDefault="00106F4F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052273" w:history="1">
            <w:r w:rsidRPr="00AF4DBA">
              <w:rPr>
                <w:rStyle w:val="Hyperlink"/>
                <w:rFonts w:ascii="Trebuchet MS" w:eastAsia="Trebuchet MS" w:hAnsi="Trebuchet MS" w:cs="Trebuchet MS"/>
                <w:b/>
                <w:bCs/>
                <w:noProof/>
              </w:rPr>
              <w:t>7. Escopo do MVP e Fora de Escopo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54443B" w14:textId="7C6E3936" w:rsidR="00106F4F" w:rsidRDefault="00106F4F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052274" w:history="1">
            <w:r w:rsidRPr="00AF4DBA">
              <w:rPr>
                <w:rStyle w:val="Hyperlink"/>
                <w:rFonts w:ascii="Trebuchet MS" w:eastAsia="Trebuchet MS" w:hAnsi="Trebuchet MS" w:cs="Trebuchet MS"/>
                <w:b/>
                <w:bCs/>
                <w:noProof/>
              </w:rPr>
              <w:t>7.1 Dentro do escopo (Fases 1 e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CA52B1" w14:textId="2CD6C65A" w:rsidR="00106F4F" w:rsidRDefault="00106F4F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052275" w:history="1">
            <w:r w:rsidRPr="00AF4DBA">
              <w:rPr>
                <w:rStyle w:val="Hyperlink"/>
                <w:rFonts w:ascii="Trebuchet MS" w:eastAsia="Trebuchet MS" w:hAnsi="Trebuchet MS" w:cs="Trebuchet MS"/>
                <w:b/>
                <w:bCs/>
                <w:noProof/>
              </w:rPr>
              <w:t>7.2 Fora de escopo do MVP (Fase 3 ou posteriores)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D3202C" w14:textId="574F5B18" w:rsidR="00106F4F" w:rsidRDefault="00106F4F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052276" w:history="1">
            <w:r w:rsidRPr="00AF4DBA">
              <w:rPr>
                <w:rStyle w:val="Hyperlink"/>
                <w:rFonts w:ascii="Trebuchet MS" w:eastAsia="Trebuchet MS" w:hAnsi="Trebuchet MS" w:cs="Trebuchet MS"/>
                <w:b/>
                <w:bCs/>
                <w:noProof/>
              </w:rPr>
              <w:t>8. Alinhamento Estratégico — Os 12 Pilares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8629F3" w14:textId="68FE02B2" w:rsidR="00106F4F" w:rsidRDefault="00106F4F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052277" w:history="1">
            <w:r w:rsidRPr="00AF4DBA">
              <w:rPr>
                <w:rStyle w:val="Hyperlink"/>
                <w:rFonts w:ascii="Trebuchet MS" w:eastAsia="Trebuchet MS" w:hAnsi="Trebuchet MS" w:cs="Trebuchet MS"/>
                <w:b/>
                <w:bCs/>
                <w:noProof/>
              </w:rPr>
              <w:t>9. Premissas, Restrições e Riscos de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0433C2" w14:textId="513FC1DD" w:rsidR="00106F4F" w:rsidRDefault="00106F4F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052278" w:history="1">
            <w:r w:rsidRPr="00AF4DBA">
              <w:rPr>
                <w:rStyle w:val="Hyperlink"/>
                <w:rFonts w:ascii="Trebuchet MS" w:eastAsia="Trebuchet MS" w:hAnsi="Trebuchet MS" w:cs="Trebuchet MS"/>
                <w:b/>
                <w:bCs/>
                <w:noProof/>
              </w:rPr>
              <w:t>9.1 Premissas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426334" w14:textId="28D581A9" w:rsidR="00106F4F" w:rsidRDefault="00106F4F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052279" w:history="1">
            <w:r w:rsidRPr="00AF4DBA">
              <w:rPr>
                <w:rStyle w:val="Hyperlink"/>
                <w:rFonts w:ascii="Trebuchet MS" w:eastAsia="Trebuchet MS" w:hAnsi="Trebuchet MS" w:cs="Trebuchet MS"/>
                <w:b/>
                <w:bCs/>
                <w:noProof/>
              </w:rPr>
              <w:t>9.2 Restrições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E4B7E7" w14:textId="103F7FF5" w:rsidR="00106F4F" w:rsidRDefault="00106F4F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052280" w:history="1">
            <w:r w:rsidRPr="00AF4DBA">
              <w:rPr>
                <w:rStyle w:val="Hyperlink"/>
                <w:rFonts w:ascii="Trebuchet MS" w:eastAsia="Trebuchet MS" w:hAnsi="Trebuchet MS" w:cs="Trebuchet MS"/>
                <w:b/>
                <w:bCs/>
                <w:noProof/>
              </w:rPr>
              <w:t>9.3 Riscos de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6FF60E" w14:textId="35893810" w:rsidR="00106F4F" w:rsidRDefault="00106F4F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052281" w:history="1">
            <w:r w:rsidRPr="00AF4DBA">
              <w:rPr>
                <w:rStyle w:val="Hyperlink"/>
                <w:rFonts w:ascii="Trebuchet MS" w:eastAsia="Trebuchet MS" w:hAnsi="Trebuchet MS" w:cs="Trebuchet MS"/>
                <w:b/>
                <w:bCs/>
                <w:noProof/>
              </w:rPr>
              <w:t>10. Roadmap de Alto Nível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_Toc234052281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A733C9" w14:textId="183F4876" w:rsidR="00963C4F" w:rsidRDefault="00000000">
          <w:r>
            <w:fldChar w:fldCharType="end"/>
          </w:r>
        </w:p>
      </w:sdtContent>
    </w:sdt>
    <w:p w14:paraId="74A733CA" w14:textId="77777777" w:rsidR="00963C4F" w:rsidRDefault="00000000">
      <w:r>
        <w:br w:type="page"/>
      </w:r>
    </w:p>
    <w:p w14:paraId="74A733CB" w14:textId="77777777" w:rsidR="00963C4F" w:rsidRDefault="00000000">
      <w:pPr>
        <w:pStyle w:val="Ttulo1"/>
        <w:pBdr>
          <w:bottom w:val="single" w:sz="12" w:space="0" w:color="CAAA67"/>
        </w:pBdr>
        <w:spacing w:before="360" w:after="200"/>
      </w:pPr>
      <w:bookmarkStart w:id="0" w:name="_Toc234052267"/>
      <w:r>
        <w:rPr>
          <w:rFonts w:ascii="Trebuchet MS" w:eastAsia="Trebuchet MS" w:hAnsi="Trebuchet MS" w:cs="Trebuchet MS"/>
          <w:b/>
          <w:bCs/>
          <w:color w:val="855023"/>
          <w:sz w:val="30"/>
          <w:szCs w:val="30"/>
        </w:rPr>
        <w:lastRenderedPageBreak/>
        <w:t>1. Propósito deste Documento</w:t>
      </w:r>
      <w:bookmarkEnd w:id="0"/>
    </w:p>
    <w:p w14:paraId="74A733CC" w14:textId="77777777" w:rsidR="00963C4F" w:rsidRDefault="00000000">
      <w:pPr>
        <w:spacing w:after="160" w:line="300" w:lineRule="auto"/>
        <w:jc w:val="both"/>
      </w:pPr>
      <w:r>
        <w:t>Este Documento de Visão estabelece o porquê do Sistema Mason Connect: o problema que resolve, o valor que gera, para quem existe e como o seu sucesso será medido. É o documento de mais alto nível da suíte de engenharia do projeto — todos os demais artefatos (Regras de Negócio, SRS, Arquitetura, DER, Protótipo e Prompt Mestre) derivam dele e a ele devem permanecer fiéis.</w:t>
      </w:r>
    </w:p>
    <w:p w14:paraId="74A733CD" w14:textId="77777777" w:rsidR="00963C4F" w:rsidRDefault="00000000">
      <w:pPr>
        <w:pStyle w:val="Ttulo1"/>
        <w:pBdr>
          <w:bottom w:val="single" w:sz="12" w:space="0" w:color="CAAA67"/>
        </w:pBdr>
        <w:spacing w:before="360" w:after="200"/>
      </w:pPr>
      <w:bookmarkStart w:id="1" w:name="_Toc234052268"/>
      <w:r>
        <w:rPr>
          <w:rFonts w:ascii="Trebuchet MS" w:eastAsia="Trebuchet MS" w:hAnsi="Trebuchet MS" w:cs="Trebuchet MS"/>
          <w:b/>
          <w:bCs/>
          <w:color w:val="855023"/>
          <w:sz w:val="30"/>
          <w:szCs w:val="30"/>
        </w:rPr>
        <w:t>2. O Problema e a Oportunidade</w:t>
      </w:r>
      <w:bookmarkEnd w:id="1"/>
    </w:p>
    <w:p w14:paraId="74A733CE" w14:textId="77777777" w:rsidR="00963C4F" w:rsidRDefault="00000000">
      <w:pPr>
        <w:spacing w:after="160" w:line="300" w:lineRule="auto"/>
        <w:jc w:val="both"/>
      </w:pPr>
      <w:r>
        <w:t>O Mason Connect reúne semanalmente empresários Maçons para networking estruturado, indicações qualificadas e treinamentos, sustentado pela metodologia proprietária dos 12 Pilares do Empresário Conector de Elite. O grupo cresceu e profissionalizou sua metodologia — mas sua operação permanece manual: cadastros, presenças, indicações e finanças vivem dispersos em planilhas, mensagens e na memória de poucas pessoas.</w:t>
      </w:r>
    </w:p>
    <w:p w14:paraId="74A733CF" w14:textId="77777777" w:rsidR="00963C4F" w:rsidRDefault="00000000">
      <w:pPr>
        <w:spacing w:after="160" w:line="300" w:lineRule="auto"/>
        <w:jc w:val="both"/>
      </w:pPr>
      <w:r>
        <w:t>O custo dessa dispersão é triplo. Operacional: retrabalho, regras aplicadas de memória e dependência de indivíduos. Financeiro: caixa sem extrato único e prestação de contas trabalhosa. Estratégico — o mais grave: o valor que o grupo gera em negócios fechados é invisível, e o que não se mede não se prova, não se celebra e não atrai novos membros. A oportunidade é transformar a confiança fraterna, capital invisível do grupo (Pilar 7), em resultados mensuráveis e auditáveis — a infraestrutura digital do legado que a metodologia promete (Pilar 12).</w:t>
      </w:r>
    </w:p>
    <w:p w14:paraId="74A733D0" w14:textId="77777777" w:rsidR="00963C4F" w:rsidRDefault="00000000">
      <w:pPr>
        <w:pStyle w:val="Ttulo1"/>
        <w:pBdr>
          <w:bottom w:val="single" w:sz="12" w:space="0" w:color="CAAA67"/>
        </w:pBdr>
        <w:spacing w:before="360" w:after="200"/>
      </w:pPr>
      <w:bookmarkStart w:id="2" w:name="_Toc234052269"/>
      <w:r>
        <w:rPr>
          <w:rFonts w:ascii="Trebuchet MS" w:eastAsia="Trebuchet MS" w:hAnsi="Trebuchet MS" w:cs="Trebuchet MS"/>
          <w:b/>
          <w:bCs/>
          <w:color w:val="855023"/>
          <w:sz w:val="30"/>
          <w:szCs w:val="30"/>
        </w:rPr>
        <w:t>3. Declaração de Visão do Produto</w:t>
      </w:r>
      <w:bookmarkEnd w:id="2"/>
    </w:p>
    <w:p w14:paraId="74A733D1" w14:textId="77777777" w:rsidR="00963C4F" w:rsidRDefault="00000000">
      <w:pPr>
        <w:spacing w:after="160" w:line="300" w:lineRule="auto"/>
        <w:jc w:val="both"/>
      </w:pPr>
      <w:r>
        <w:t xml:space="preserve">Para </w:t>
      </w:r>
      <w:r>
        <w:rPr>
          <w:b/>
          <w:bCs/>
        </w:rPr>
        <w:t>os empresários Maçons e a gestão do Mason Connect</w:t>
      </w:r>
      <w:r>
        <w:t xml:space="preserve">, que precisam transformar relações de confiança em prosperidade mensurável, o </w:t>
      </w:r>
      <w:r>
        <w:rPr>
          <w:b/>
          <w:bCs/>
        </w:rPr>
        <w:t>Sistema Mason Connect</w:t>
      </w:r>
      <w:r>
        <w:t xml:space="preserve"> é uma plataforma de gestão de networking profissional que centraliza membros, reuniões, indicações, negócios e finanças em uma fonte única de verdade. Diferentemente de planilhas dispersas ou sistemas genéricos de CRM, nosso produto nasce das regras e da metodologia do próprio grupo — os 12 Pilares —, aplicando-as de forma automática, imparcial e auditável, e preparando a expansão nacional em múltiplos núcleos.</w:t>
      </w:r>
    </w:p>
    <w:p w14:paraId="74A733D2" w14:textId="77777777" w:rsidR="00963C4F" w:rsidRDefault="00000000">
      <w:pPr>
        <w:pStyle w:val="Ttulo1"/>
        <w:pBdr>
          <w:bottom w:val="single" w:sz="12" w:space="0" w:color="CAAA67"/>
        </w:pBdr>
        <w:spacing w:before="360" w:after="200"/>
      </w:pPr>
      <w:bookmarkStart w:id="3" w:name="_Toc234052270"/>
      <w:r>
        <w:rPr>
          <w:rFonts w:ascii="Trebuchet MS" w:eastAsia="Trebuchet MS" w:hAnsi="Trebuchet MS" w:cs="Trebuchet MS"/>
          <w:b/>
          <w:bCs/>
          <w:color w:val="855023"/>
          <w:sz w:val="30"/>
          <w:szCs w:val="30"/>
        </w:rPr>
        <w:t>4. Públicos e Personas</w:t>
      </w:r>
      <w:bookmarkEnd w:id="3"/>
    </w:p>
    <w:tbl>
      <w:tblPr>
        <w:tblW w:w="9026" w:type="dxa"/>
        <w:tblBorders>
          <w:top w:val="single" w:sz="4" w:space="0" w:color="CAAA67"/>
          <w:left w:val="single" w:sz="4" w:space="0" w:color="CAAA67"/>
          <w:bottom w:val="single" w:sz="4" w:space="0" w:color="CAAA67"/>
          <w:right w:val="single" w:sz="4" w:space="0" w:color="CAAA67"/>
          <w:insideH w:val="single" w:sz="2" w:space="0" w:color="CAAA67"/>
          <w:insideV w:val="single" w:sz="2" w:space="0" w:color="CAAA6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900"/>
        <w:gridCol w:w="3726"/>
      </w:tblGrid>
      <w:tr w:rsidR="00963C4F" w14:paraId="74A733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85502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D3" w14:textId="77777777" w:rsidR="00963C4F" w:rsidRDefault="00000000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Persona</w:t>
            </w:r>
          </w:p>
        </w:tc>
        <w:tc>
          <w:tcPr>
            <w:tcW w:w="2900" w:type="dxa"/>
            <w:shd w:val="clear" w:color="auto" w:fill="85502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D4" w14:textId="77777777" w:rsidR="00963C4F" w:rsidRDefault="00000000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Perfil</w:t>
            </w:r>
          </w:p>
        </w:tc>
        <w:tc>
          <w:tcPr>
            <w:tcW w:w="3726" w:type="dxa"/>
            <w:shd w:val="clear" w:color="auto" w:fill="85502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D5" w14:textId="77777777" w:rsidR="00963C4F" w:rsidRDefault="00000000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 que precisa do sistema</w:t>
            </w:r>
          </w:p>
        </w:tc>
      </w:tr>
      <w:tr w:rsidR="00963C4F" w14:paraId="74A733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D7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O Gestor (fundador/presidente)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D8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Lidera o grupo, aprova membros, presta contas e decide a expansão.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D9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Visão executiva em tempo real: valor gerado, caixa, engajamento e alertas — para decidir com dados e prestar contas com transparência.</w:t>
            </w:r>
          </w:p>
        </w:tc>
      </w:tr>
      <w:tr w:rsidR="00963C4F" w14:paraId="74A733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EF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DB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O Administrativo</w:t>
            </w:r>
          </w:p>
        </w:tc>
        <w:tc>
          <w:tcPr>
            <w:tcW w:w="2900" w:type="dxa"/>
            <w:shd w:val="clear" w:color="auto" w:fill="F5EF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DC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Opera a rotina: reuniões, presenças, convidados e lançamentos.</w:t>
            </w:r>
          </w:p>
        </w:tc>
        <w:tc>
          <w:tcPr>
            <w:tcW w:w="3726" w:type="dxa"/>
            <w:shd w:val="clear" w:color="auto" w:fill="F5EF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DD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Fluxos rápidos de operação durante a reunião (presença e indicações ao vivo) e rotinas financeiras sem retrabalho.</w:t>
            </w:r>
          </w:p>
        </w:tc>
      </w:tr>
      <w:tr w:rsidR="00963C4F" w14:paraId="74A733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DF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lastRenderedPageBreak/>
              <w:t>O Empresário membro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E0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Participa das reuniões, indica e recebe negócios.</w:t>
            </w:r>
          </w:p>
        </w:tc>
        <w:tc>
          <w:tcPr>
            <w:tcW w:w="37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E1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Registrar indicações em segundos, acompanhar seus negócios, ver sua situação (mensalidades, presenças) e consultar o diretório de Irmãos e empresas.</w:t>
            </w:r>
          </w:p>
        </w:tc>
      </w:tr>
    </w:tbl>
    <w:p w14:paraId="74A733E3" w14:textId="77777777" w:rsidR="00963C4F" w:rsidRDefault="00963C4F">
      <w:pPr>
        <w:spacing w:after="200"/>
      </w:pPr>
    </w:p>
    <w:p w14:paraId="74A733E4" w14:textId="77777777" w:rsidR="00963C4F" w:rsidRDefault="00000000">
      <w:pPr>
        <w:pStyle w:val="Ttulo1"/>
        <w:pBdr>
          <w:bottom w:val="single" w:sz="12" w:space="0" w:color="CAAA67"/>
        </w:pBdr>
        <w:spacing w:before="360" w:after="200"/>
      </w:pPr>
      <w:bookmarkStart w:id="4" w:name="_Toc234052271"/>
      <w:r>
        <w:rPr>
          <w:rFonts w:ascii="Trebuchet MS" w:eastAsia="Trebuchet MS" w:hAnsi="Trebuchet MS" w:cs="Trebuchet MS"/>
          <w:b/>
          <w:bCs/>
          <w:color w:val="855023"/>
          <w:sz w:val="30"/>
          <w:szCs w:val="30"/>
        </w:rPr>
        <w:t>5. Proposta de Valor</w:t>
      </w:r>
      <w:bookmarkEnd w:id="4"/>
    </w:p>
    <w:p w14:paraId="74A733E5" w14:textId="77777777" w:rsidR="00963C4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Para o grupo: o valor gerado deixa de ser percepção e vira número — R$ em negócios fechados, funil de indicações e engajamento comprovados.</w:t>
      </w:r>
    </w:p>
    <w:p w14:paraId="74A733E6" w14:textId="77777777" w:rsidR="00963C4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Para o membro: seu crédito de indicador jamais se perde (Pilar 11 — quem gera valor torna-se inesquecível), e sua reputação de entrega fica registrada (Pilar 7).</w:t>
      </w:r>
    </w:p>
    <w:p w14:paraId="74A733E7" w14:textId="77777777" w:rsidR="00963C4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Para a gestão: regras aplicadas com imparcialidade automática (Pilar 6 — autoridade pela coerência), caixa sincronizado e trilha de auditoria completa.</w:t>
      </w:r>
    </w:p>
    <w:p w14:paraId="74A733E8" w14:textId="77777777" w:rsidR="00963C4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Para a expansão: modelo replicável em novos núcleos estaduais com padrão, controle e visão consolidada.</w:t>
      </w:r>
    </w:p>
    <w:p w14:paraId="74A733E9" w14:textId="77777777" w:rsidR="00963C4F" w:rsidRDefault="00000000">
      <w:pPr>
        <w:pStyle w:val="Ttulo1"/>
        <w:pBdr>
          <w:bottom w:val="single" w:sz="12" w:space="0" w:color="CAAA67"/>
        </w:pBdr>
        <w:spacing w:before="360" w:after="200"/>
      </w:pPr>
      <w:bookmarkStart w:id="5" w:name="_Toc234052272"/>
      <w:r>
        <w:rPr>
          <w:rFonts w:ascii="Trebuchet MS" w:eastAsia="Trebuchet MS" w:hAnsi="Trebuchet MS" w:cs="Trebuchet MS"/>
          <w:b/>
          <w:bCs/>
          <w:color w:val="855023"/>
          <w:sz w:val="30"/>
          <w:szCs w:val="30"/>
        </w:rPr>
        <w:t>6. Objetivos de Negócio e Métricas de Sucesso</w:t>
      </w:r>
      <w:bookmarkEnd w:id="5"/>
    </w:p>
    <w:p w14:paraId="74A733EA" w14:textId="77777777" w:rsidR="00963C4F" w:rsidRDefault="00000000">
      <w:pPr>
        <w:spacing w:after="160" w:line="300" w:lineRule="auto"/>
        <w:jc w:val="both"/>
      </w:pPr>
      <w:r>
        <w:t>O sucesso do produto será medido pelos indicadores abaixo, apurados nos dashboards do próprio sistema. As metas iniciais são propostas da consultoria, a calibrar pela gestão no primeiro trimestre de uso.</w:t>
      </w:r>
    </w:p>
    <w:tbl>
      <w:tblPr>
        <w:tblW w:w="9026" w:type="dxa"/>
        <w:tblBorders>
          <w:top w:val="single" w:sz="4" w:space="0" w:color="CAAA67"/>
          <w:left w:val="single" w:sz="4" w:space="0" w:color="CAAA67"/>
          <w:bottom w:val="single" w:sz="4" w:space="0" w:color="CAAA67"/>
          <w:right w:val="single" w:sz="4" w:space="0" w:color="CAAA67"/>
          <w:insideH w:val="single" w:sz="2" w:space="0" w:color="CAAA67"/>
          <w:insideV w:val="single" w:sz="2" w:space="0" w:color="CAAA6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626"/>
        <w:gridCol w:w="2700"/>
      </w:tblGrid>
      <w:tr w:rsidR="00963C4F" w14:paraId="74A733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85502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EB" w14:textId="77777777" w:rsidR="00963C4F" w:rsidRDefault="00000000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3626" w:type="dxa"/>
            <w:shd w:val="clear" w:color="auto" w:fill="85502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EC" w14:textId="77777777" w:rsidR="00963C4F" w:rsidRDefault="00000000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2700" w:type="dxa"/>
            <w:shd w:val="clear" w:color="auto" w:fill="85502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ED" w14:textId="77777777" w:rsidR="00963C4F" w:rsidRDefault="00000000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Meta inicial proposta</w:t>
            </w:r>
          </w:p>
        </w:tc>
      </w:tr>
      <w:tr w:rsidR="00963C4F" w14:paraId="74A733F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EF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Tornar o valor do grupo visível</w:t>
            </w:r>
          </w:p>
        </w:tc>
        <w:tc>
          <w:tcPr>
            <w:tcW w:w="36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F0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R$ em negócios fechados registrados por trimestre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F1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100% dos fechamentos registrados no sistema</w:t>
            </w:r>
          </w:p>
        </w:tc>
      </w:tr>
      <w:tr w:rsidR="00963C4F" w14:paraId="74A733F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EF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F3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Fortalecer o funil de indicações</w:t>
            </w:r>
          </w:p>
        </w:tc>
        <w:tc>
          <w:tcPr>
            <w:tcW w:w="3626" w:type="dxa"/>
            <w:shd w:val="clear" w:color="auto" w:fill="F5EF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F4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Indicações registradas por reunião / taxa de conversão em negócio</w:t>
            </w:r>
          </w:p>
        </w:tc>
        <w:tc>
          <w:tcPr>
            <w:tcW w:w="2700" w:type="dxa"/>
            <w:shd w:val="clear" w:color="auto" w:fill="F5EF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F5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Registro ao vivo em 100% das Rodadas de Negócios</w:t>
            </w:r>
          </w:p>
        </w:tc>
      </w:tr>
      <w:tr w:rsidR="00963C4F" w14:paraId="74A733F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F7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Elevar o engajamento</w:t>
            </w:r>
          </w:p>
        </w:tc>
        <w:tc>
          <w:tcPr>
            <w:tcW w:w="36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F8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Presença média nas reuniões oficiais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F9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≥ 85% de presença média</w:t>
            </w:r>
          </w:p>
        </w:tc>
      </w:tr>
      <w:tr w:rsidR="00963C4F" w14:paraId="74A733F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EF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FB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Saúde financeira transparente</w:t>
            </w:r>
          </w:p>
        </w:tc>
        <w:tc>
          <w:tcPr>
            <w:tcW w:w="3626" w:type="dxa"/>
            <w:shd w:val="clear" w:color="auto" w:fill="F5EF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FC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Competências conciliadas no caixa / inadimplência</w:t>
            </w:r>
          </w:p>
        </w:tc>
        <w:tc>
          <w:tcPr>
            <w:tcW w:w="2700" w:type="dxa"/>
            <w:shd w:val="clear" w:color="auto" w:fill="F5EF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FD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Fechamento mensal em até 5 dias; inadimplência &lt; 10%</w:t>
            </w:r>
          </w:p>
        </w:tc>
      </w:tr>
      <w:tr w:rsidR="00963C4F" w14:paraId="74A7340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3FF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Reduzir dependência operacional</w:t>
            </w:r>
          </w:p>
        </w:tc>
        <w:tc>
          <w:tcPr>
            <w:tcW w:w="36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00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Ações críticas com trilha de auditoria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01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100% auditadas desde o primeiro dia</w:t>
            </w:r>
          </w:p>
        </w:tc>
      </w:tr>
    </w:tbl>
    <w:p w14:paraId="74A73403" w14:textId="77777777" w:rsidR="00963C4F" w:rsidRDefault="00963C4F">
      <w:pPr>
        <w:spacing w:after="200"/>
      </w:pPr>
    </w:p>
    <w:p w14:paraId="74A73404" w14:textId="77777777" w:rsidR="00963C4F" w:rsidRDefault="00000000">
      <w:pPr>
        <w:pStyle w:val="Ttulo1"/>
        <w:pBdr>
          <w:bottom w:val="single" w:sz="12" w:space="0" w:color="CAAA67"/>
        </w:pBdr>
        <w:spacing w:before="360" w:after="200"/>
      </w:pPr>
      <w:bookmarkStart w:id="6" w:name="_Toc234052273"/>
      <w:r>
        <w:rPr>
          <w:rFonts w:ascii="Trebuchet MS" w:eastAsia="Trebuchet MS" w:hAnsi="Trebuchet MS" w:cs="Trebuchet MS"/>
          <w:b/>
          <w:bCs/>
          <w:color w:val="855023"/>
          <w:sz w:val="30"/>
          <w:szCs w:val="30"/>
        </w:rPr>
        <w:t>7. Escopo do MVP e Fora de Escopo</w:t>
      </w:r>
      <w:bookmarkEnd w:id="6"/>
    </w:p>
    <w:p w14:paraId="74A73405" w14:textId="77777777" w:rsidR="00963C4F" w:rsidRDefault="00000000">
      <w:pPr>
        <w:pStyle w:val="Ttulo2"/>
        <w:spacing w:before="280" w:after="140"/>
      </w:pPr>
      <w:bookmarkStart w:id="7" w:name="_Toc234052274"/>
      <w:r>
        <w:rPr>
          <w:rFonts w:ascii="Trebuchet MS" w:eastAsia="Trebuchet MS" w:hAnsi="Trebuchet MS" w:cs="Trebuchet MS"/>
          <w:b/>
          <w:bCs/>
          <w:color w:val="855023"/>
          <w:sz w:val="24"/>
          <w:szCs w:val="24"/>
        </w:rPr>
        <w:t>7.1 Dentro do escopo (Fases 1 e 2)</w:t>
      </w:r>
      <w:bookmarkEnd w:id="7"/>
    </w:p>
    <w:p w14:paraId="74A73406" w14:textId="77777777" w:rsidR="00963C4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Módulo de Cadastros: membros (com validação maçônica), categorias, empresas, convidados vinculados e suplentes.</w:t>
      </w:r>
    </w:p>
    <w:p w14:paraId="74A73407" w14:textId="77777777" w:rsidR="00963C4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lastRenderedPageBreak/>
        <w:t>Módulo de Reuniões: agendamento, presenças com contador de faltas consecutivas, convidados e registro das dinâmicas.</w:t>
      </w:r>
    </w:p>
    <w:p w14:paraId="74A73408" w14:textId="77777777" w:rsidR="00963C4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Módulo de Indicações e Negócios: registro, ciclo de vida completo e confirmação formal de fechamento.</w:t>
      </w:r>
    </w:p>
    <w:p w14:paraId="74A73409" w14:textId="77777777" w:rsidR="00963C4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Módulo Financeiro: planos parametrizáveis, mensalidades, lançamentos, </w:t>
      </w:r>
      <w:proofErr w:type="spellStart"/>
      <w:r>
        <w:t>coffee</w:t>
      </w:r>
      <w:proofErr w:type="spellEnd"/>
      <w:r>
        <w:t xml:space="preserve"> breaks e extrato do caixa.</w:t>
      </w:r>
    </w:p>
    <w:p w14:paraId="74A7340A" w14:textId="77777777" w:rsidR="00963C4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Relatórios e dashboards especificados no SRS, com controle de acesso por perfil.</w:t>
      </w:r>
    </w:p>
    <w:p w14:paraId="74A7340B" w14:textId="77777777" w:rsidR="00963C4F" w:rsidRDefault="00000000">
      <w:pPr>
        <w:pStyle w:val="Ttulo2"/>
        <w:spacing w:before="280" w:after="140"/>
      </w:pPr>
      <w:bookmarkStart w:id="8" w:name="_Toc234052275"/>
      <w:r>
        <w:rPr>
          <w:rFonts w:ascii="Trebuchet MS" w:eastAsia="Trebuchet MS" w:hAnsi="Trebuchet MS" w:cs="Trebuchet MS"/>
          <w:b/>
          <w:bCs/>
          <w:color w:val="855023"/>
          <w:sz w:val="24"/>
          <w:szCs w:val="24"/>
        </w:rPr>
        <w:t>7.2 Fora de escopo do MVP (Fase 3 ou posteriores)</w:t>
      </w:r>
      <w:bookmarkEnd w:id="8"/>
    </w:p>
    <w:p w14:paraId="74A7340C" w14:textId="77777777" w:rsidR="00963C4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Cobrança automatizada por Pix/boleto e conciliação bancária (integração </w:t>
      </w:r>
      <w:proofErr w:type="spellStart"/>
      <w:r>
        <w:t>Asaas</w:t>
      </w:r>
      <w:proofErr w:type="spellEnd"/>
      <w:r>
        <w:t>/Mercado Pago).</w:t>
      </w:r>
    </w:p>
    <w:p w14:paraId="74A7340D" w14:textId="77777777" w:rsidR="00963C4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Notificações automáticas por WhatsApp e aplicativo móvel nativo.</w:t>
      </w:r>
    </w:p>
    <w:p w14:paraId="74A7340E" w14:textId="77777777" w:rsidR="00963C4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 xml:space="preserve">Operação </w:t>
      </w:r>
      <w:proofErr w:type="spellStart"/>
      <w:r>
        <w:t>multi-núcleo</w:t>
      </w:r>
      <w:proofErr w:type="spellEnd"/>
      <w:r>
        <w:t xml:space="preserve"> em produção (a estrutura de dados nasce preparada, mas a gestão de múltiplos </w:t>
      </w:r>
      <w:proofErr w:type="gramStart"/>
      <w:r>
        <w:t>núcleos ativa</w:t>
      </w:r>
      <w:proofErr w:type="gramEnd"/>
      <w:r>
        <w:t xml:space="preserve"> apenas na expansão).</w:t>
      </w:r>
    </w:p>
    <w:p w14:paraId="74A7340F" w14:textId="77777777" w:rsidR="00963C4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Integração com bases externas de verificação maçônica — a validação de regularidade permanece humana.</w:t>
      </w:r>
    </w:p>
    <w:p w14:paraId="74A73410" w14:textId="77777777" w:rsidR="00963C4F" w:rsidRDefault="00000000">
      <w:pPr>
        <w:pStyle w:val="Ttulo1"/>
        <w:pBdr>
          <w:bottom w:val="single" w:sz="12" w:space="0" w:color="CAAA67"/>
        </w:pBdr>
        <w:spacing w:before="360" w:after="200"/>
      </w:pPr>
      <w:bookmarkStart w:id="9" w:name="_Toc234052276"/>
      <w:r>
        <w:rPr>
          <w:rFonts w:ascii="Trebuchet MS" w:eastAsia="Trebuchet MS" w:hAnsi="Trebuchet MS" w:cs="Trebuchet MS"/>
          <w:b/>
          <w:bCs/>
          <w:color w:val="855023"/>
          <w:sz w:val="30"/>
          <w:szCs w:val="30"/>
        </w:rPr>
        <w:t>8. Alinhamento Estratégico — Os 12 Pilares</w:t>
      </w:r>
      <w:bookmarkEnd w:id="9"/>
    </w:p>
    <w:p w14:paraId="74A73411" w14:textId="77777777" w:rsidR="00963C4F" w:rsidRDefault="00000000">
      <w:pPr>
        <w:spacing w:after="160" w:line="300" w:lineRule="auto"/>
        <w:jc w:val="both"/>
      </w:pPr>
      <w:r>
        <w:t>O sistema é a materialização operacional da metodologia. O quadro abaixo resume o vínculo — o detalhamento completo consta do Documento de Regras de Negócio.</w:t>
      </w:r>
    </w:p>
    <w:tbl>
      <w:tblPr>
        <w:tblW w:w="9026" w:type="dxa"/>
        <w:tblBorders>
          <w:top w:val="single" w:sz="4" w:space="0" w:color="CAAA67"/>
          <w:left w:val="single" w:sz="4" w:space="0" w:color="CAAA67"/>
          <w:bottom w:val="single" w:sz="4" w:space="0" w:color="CAAA67"/>
          <w:right w:val="single" w:sz="4" w:space="0" w:color="CAAA67"/>
          <w:insideH w:val="single" w:sz="2" w:space="0" w:color="CAAA67"/>
          <w:insideV w:val="single" w:sz="2" w:space="0" w:color="CAAA6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963C4F" w14:paraId="74A734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85502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12" w14:textId="77777777" w:rsidR="00963C4F" w:rsidRDefault="00000000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Pilar</w:t>
            </w:r>
          </w:p>
        </w:tc>
        <w:tc>
          <w:tcPr>
            <w:tcW w:w="6026" w:type="dxa"/>
            <w:shd w:val="clear" w:color="auto" w:fill="85502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13" w14:textId="77777777" w:rsidR="00963C4F" w:rsidRDefault="00000000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Materialização no produto</w:t>
            </w:r>
          </w:p>
        </w:tc>
      </w:tr>
      <w:tr w:rsidR="00963C4F" w14:paraId="74A734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15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P3 — Persuasão Ética</w:t>
            </w:r>
          </w:p>
        </w:tc>
        <w:tc>
          <w:tcPr>
            <w:tcW w:w="60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16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Reconhecimento público de fechamentos gera reciprocidade e prova social genuínas, nunca pressão.</w:t>
            </w:r>
          </w:p>
        </w:tc>
      </w:tr>
      <w:tr w:rsidR="00963C4F" w14:paraId="74A734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EF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18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P4 — Visão Sistêmica</w:t>
            </w:r>
          </w:p>
        </w:tc>
        <w:tc>
          <w:tcPr>
            <w:tcW w:w="6026" w:type="dxa"/>
            <w:shd w:val="clear" w:color="auto" w:fill="F5EF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19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Mapa de indicações entre segmentos revela conexões improváveis e oportunidades invisíveis.</w:t>
            </w:r>
          </w:p>
        </w:tc>
      </w:tr>
      <w:tr w:rsidR="00963C4F" w14:paraId="74A734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1B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P6 — Autoridade Natural</w:t>
            </w:r>
          </w:p>
        </w:tc>
        <w:tc>
          <w:tcPr>
            <w:tcW w:w="60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1C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Regras aplicadas com coerência automática e trilha de auditoria imutável.</w:t>
            </w:r>
          </w:p>
        </w:tc>
      </w:tr>
      <w:tr w:rsidR="00963C4F" w14:paraId="74A734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EF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1E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P7 — Geração de Confiança</w:t>
            </w:r>
          </w:p>
        </w:tc>
        <w:tc>
          <w:tcPr>
            <w:tcW w:w="6026" w:type="dxa"/>
            <w:shd w:val="clear" w:color="auto" w:fill="F5EF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1F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Transparência, previsibilidade e discrição: histórico verificável com sigilo de valores individuais.</w:t>
            </w:r>
          </w:p>
        </w:tc>
      </w:tr>
      <w:tr w:rsidR="00963C4F" w14:paraId="74A734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21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P9 — Disciplina Social</w:t>
            </w:r>
          </w:p>
        </w:tc>
        <w:tc>
          <w:tcPr>
            <w:tcW w:w="60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22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Reuniões 1 a 1, SLA de retorno de indicações e alertas de manutenção de vínculo.</w:t>
            </w:r>
          </w:p>
        </w:tc>
      </w:tr>
      <w:tr w:rsidR="00963C4F" w14:paraId="74A734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EF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24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P11 — Mentalidade de Abundância</w:t>
            </w:r>
          </w:p>
        </w:tc>
        <w:tc>
          <w:tcPr>
            <w:tcW w:w="6026" w:type="dxa"/>
            <w:shd w:val="clear" w:color="auto" w:fill="F5EF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25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Crédito perpétuo ao indicador e rankings por valor gerado ao grupo.</w:t>
            </w:r>
          </w:p>
        </w:tc>
      </w:tr>
      <w:tr w:rsidR="00963C4F" w14:paraId="74A734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27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P12 — Propósito e Legado</w:t>
            </w:r>
          </w:p>
        </w:tc>
        <w:tc>
          <w:tcPr>
            <w:tcW w:w="60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28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Histórico consolidado da prosperidade coletiva: a memória institucional do grupo.</w:t>
            </w:r>
          </w:p>
        </w:tc>
      </w:tr>
    </w:tbl>
    <w:p w14:paraId="74A7342A" w14:textId="77777777" w:rsidR="00963C4F" w:rsidRDefault="00963C4F">
      <w:pPr>
        <w:spacing w:after="200"/>
      </w:pPr>
    </w:p>
    <w:p w14:paraId="707E839C" w14:textId="77777777" w:rsidR="00106F4F" w:rsidRDefault="00106F4F">
      <w:pPr>
        <w:spacing w:after="200"/>
      </w:pPr>
    </w:p>
    <w:p w14:paraId="53C568BA" w14:textId="77777777" w:rsidR="00106F4F" w:rsidRDefault="00106F4F">
      <w:pPr>
        <w:spacing w:after="200"/>
      </w:pPr>
    </w:p>
    <w:p w14:paraId="41FE569F" w14:textId="77777777" w:rsidR="00106F4F" w:rsidRDefault="00106F4F">
      <w:pPr>
        <w:spacing w:after="200"/>
      </w:pPr>
    </w:p>
    <w:p w14:paraId="74A7342B" w14:textId="77777777" w:rsidR="00963C4F" w:rsidRDefault="00000000">
      <w:pPr>
        <w:pStyle w:val="Ttulo1"/>
        <w:pBdr>
          <w:bottom w:val="single" w:sz="12" w:space="0" w:color="CAAA67"/>
        </w:pBdr>
        <w:spacing w:before="360" w:after="200"/>
      </w:pPr>
      <w:bookmarkStart w:id="10" w:name="_Toc234052277"/>
      <w:r>
        <w:rPr>
          <w:rFonts w:ascii="Trebuchet MS" w:eastAsia="Trebuchet MS" w:hAnsi="Trebuchet MS" w:cs="Trebuchet MS"/>
          <w:b/>
          <w:bCs/>
          <w:color w:val="855023"/>
          <w:sz w:val="30"/>
          <w:szCs w:val="30"/>
        </w:rPr>
        <w:lastRenderedPageBreak/>
        <w:t>9. Premissas, Restrições e Riscos de Produto</w:t>
      </w:r>
      <w:bookmarkEnd w:id="10"/>
    </w:p>
    <w:p w14:paraId="74A7342C" w14:textId="77777777" w:rsidR="00963C4F" w:rsidRDefault="00000000">
      <w:pPr>
        <w:pStyle w:val="Ttulo2"/>
        <w:spacing w:before="280" w:after="140"/>
      </w:pPr>
      <w:bookmarkStart w:id="11" w:name="_Toc234052278"/>
      <w:r>
        <w:rPr>
          <w:rFonts w:ascii="Trebuchet MS" w:eastAsia="Trebuchet MS" w:hAnsi="Trebuchet MS" w:cs="Trebuchet MS"/>
          <w:b/>
          <w:bCs/>
          <w:color w:val="855023"/>
          <w:sz w:val="24"/>
          <w:szCs w:val="24"/>
        </w:rPr>
        <w:t>9.1 Premissas</w:t>
      </w:r>
      <w:bookmarkEnd w:id="11"/>
    </w:p>
    <w:p w14:paraId="74A7342D" w14:textId="77777777" w:rsidR="00963C4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A gestão ratificará as 4 decisões pendentes de política (comissão, falta justificada, plano gratuito e titular do OK de fechamento) antes da Fase 2.</w:t>
      </w:r>
    </w:p>
    <w:p w14:paraId="74A7342E" w14:textId="77777777" w:rsidR="00963C4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O Administrativo operará o sistema ao vivo durante as reuniões (registro de presenças e indicações na hora).</w:t>
      </w:r>
    </w:p>
    <w:p w14:paraId="74A7342F" w14:textId="77777777" w:rsidR="00963C4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Idioma Português do Brasil, moeda Real, fuso de Brasília; uso predominante via celular durante as reuniões.</w:t>
      </w:r>
    </w:p>
    <w:p w14:paraId="74A73430" w14:textId="77777777" w:rsidR="00963C4F" w:rsidRDefault="00000000">
      <w:pPr>
        <w:pStyle w:val="Ttulo2"/>
        <w:spacing w:before="280" w:after="140"/>
      </w:pPr>
      <w:bookmarkStart w:id="12" w:name="_Toc234052279"/>
      <w:r>
        <w:rPr>
          <w:rFonts w:ascii="Trebuchet MS" w:eastAsia="Trebuchet MS" w:hAnsi="Trebuchet MS" w:cs="Trebuchet MS"/>
          <w:b/>
          <w:bCs/>
          <w:color w:val="855023"/>
          <w:sz w:val="24"/>
          <w:szCs w:val="24"/>
        </w:rPr>
        <w:t>9.2 Restrições</w:t>
      </w:r>
      <w:bookmarkEnd w:id="12"/>
    </w:p>
    <w:p w14:paraId="74A73431" w14:textId="77777777" w:rsidR="00963C4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Orçamento de infraestrutura próximo de zero no MVP (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>/PostgreSQL gerenciado).</w:t>
      </w:r>
    </w:p>
    <w:p w14:paraId="74A73432" w14:textId="77777777" w:rsidR="00963C4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Conformidade com a LGPD no tratamento de dados pessoais de membros e convidados.</w:t>
      </w:r>
    </w:p>
    <w:p w14:paraId="74A73433" w14:textId="77777777" w:rsidR="00963C4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Identidade visual obrigatória: marrom #855023, dourado #CAAA67 e tons creme, com o logotipo institucional.</w:t>
      </w:r>
    </w:p>
    <w:p w14:paraId="74A73434" w14:textId="77777777" w:rsidR="00963C4F" w:rsidRDefault="00000000">
      <w:pPr>
        <w:pStyle w:val="Ttulo2"/>
        <w:spacing w:before="280" w:after="140"/>
      </w:pPr>
      <w:bookmarkStart w:id="13" w:name="_Toc234052280"/>
      <w:r>
        <w:rPr>
          <w:rFonts w:ascii="Trebuchet MS" w:eastAsia="Trebuchet MS" w:hAnsi="Trebuchet MS" w:cs="Trebuchet MS"/>
          <w:b/>
          <w:bCs/>
          <w:color w:val="855023"/>
          <w:sz w:val="24"/>
          <w:szCs w:val="24"/>
        </w:rPr>
        <w:t>9.3 Riscos de produto</w:t>
      </w:r>
      <w:bookmarkEnd w:id="13"/>
    </w:p>
    <w:tbl>
      <w:tblPr>
        <w:tblW w:w="9026" w:type="dxa"/>
        <w:tblBorders>
          <w:top w:val="single" w:sz="4" w:space="0" w:color="CAAA67"/>
          <w:left w:val="single" w:sz="4" w:space="0" w:color="CAAA67"/>
          <w:bottom w:val="single" w:sz="4" w:space="0" w:color="CAAA67"/>
          <w:right w:val="single" w:sz="4" w:space="0" w:color="CAAA67"/>
          <w:insideH w:val="single" w:sz="2" w:space="0" w:color="CAAA67"/>
          <w:insideV w:val="single" w:sz="2" w:space="0" w:color="CAAA6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963C4F" w14:paraId="74A734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85502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35" w14:textId="77777777" w:rsidR="00963C4F" w:rsidRDefault="00000000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Risco</w:t>
            </w:r>
          </w:p>
        </w:tc>
        <w:tc>
          <w:tcPr>
            <w:tcW w:w="5026" w:type="dxa"/>
            <w:shd w:val="clear" w:color="auto" w:fill="85502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36" w14:textId="77777777" w:rsidR="00963C4F" w:rsidRDefault="00000000">
            <w:pPr>
              <w:spacing w:before="40" w:after="40"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Mitigação</w:t>
            </w:r>
          </w:p>
        </w:tc>
      </w:tr>
      <w:tr w:rsidR="00963C4F" w14:paraId="74A7343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38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Baixa adesão ao registro de indicações</w:t>
            </w:r>
          </w:p>
        </w:tc>
        <w:tc>
          <w:tcPr>
            <w:tcW w:w="50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39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Registro ao vivo na Rodada de Negócios conduzido pelo Administrativo; fricção mínima no formulário.</w:t>
            </w:r>
          </w:p>
        </w:tc>
      </w:tr>
      <w:tr w:rsidR="00963C4F" w14:paraId="74A7343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5EF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3B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Percepção de exposição financeira</w:t>
            </w:r>
          </w:p>
        </w:tc>
        <w:tc>
          <w:tcPr>
            <w:tcW w:w="5026" w:type="dxa"/>
            <w:shd w:val="clear" w:color="auto" w:fill="F5EF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3C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Sigilo de valores individuais por padrão; dashboards públicos apenas com agregados.</w:t>
            </w:r>
          </w:p>
        </w:tc>
      </w:tr>
      <w:tr w:rsidR="00963C4F" w14:paraId="74A7344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3E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Mudança de regras após o desenvolvimento</w:t>
            </w:r>
          </w:p>
        </w:tc>
        <w:tc>
          <w:tcPr>
            <w:tcW w:w="50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3F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Regras parametrizáveis em telas de configuração do Gestor, sem alteração de código.</w:t>
            </w:r>
          </w:p>
        </w:tc>
      </w:tr>
      <w:tr w:rsidR="00963C4F" w14:paraId="74A734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5EF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41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Descontinuidade operacional</w:t>
            </w:r>
          </w:p>
        </w:tc>
        <w:tc>
          <w:tcPr>
            <w:tcW w:w="5026" w:type="dxa"/>
            <w:shd w:val="clear" w:color="auto" w:fill="F5EFE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73442" w14:textId="77777777" w:rsidR="00963C4F" w:rsidRDefault="00000000">
            <w:pPr>
              <w:spacing w:before="40" w:after="40" w:line="260" w:lineRule="auto"/>
            </w:pPr>
            <w:r>
              <w:rPr>
                <w:sz w:val="18"/>
                <w:szCs w:val="18"/>
              </w:rPr>
              <w:t>Perfis Administrativo redundantes, manual de operação e trilha de auditoria.</w:t>
            </w:r>
          </w:p>
        </w:tc>
      </w:tr>
    </w:tbl>
    <w:p w14:paraId="74A73444" w14:textId="77777777" w:rsidR="00963C4F" w:rsidRDefault="00963C4F">
      <w:pPr>
        <w:spacing w:after="200"/>
      </w:pPr>
    </w:p>
    <w:p w14:paraId="74A73445" w14:textId="77777777" w:rsidR="00963C4F" w:rsidRDefault="00000000">
      <w:pPr>
        <w:pStyle w:val="Ttulo1"/>
        <w:pBdr>
          <w:bottom w:val="single" w:sz="12" w:space="0" w:color="CAAA67"/>
        </w:pBdr>
        <w:spacing w:before="360" w:after="200"/>
      </w:pPr>
      <w:bookmarkStart w:id="14" w:name="_Toc234052281"/>
      <w:r>
        <w:rPr>
          <w:rFonts w:ascii="Trebuchet MS" w:eastAsia="Trebuchet MS" w:hAnsi="Trebuchet MS" w:cs="Trebuchet MS"/>
          <w:b/>
          <w:bCs/>
          <w:color w:val="855023"/>
          <w:sz w:val="30"/>
          <w:szCs w:val="30"/>
        </w:rPr>
        <w:t xml:space="preserve">10. </w:t>
      </w:r>
      <w:proofErr w:type="spellStart"/>
      <w:r>
        <w:rPr>
          <w:rFonts w:ascii="Trebuchet MS" w:eastAsia="Trebuchet MS" w:hAnsi="Trebuchet MS" w:cs="Trebuchet MS"/>
          <w:b/>
          <w:bCs/>
          <w:color w:val="855023"/>
          <w:sz w:val="30"/>
          <w:szCs w:val="30"/>
        </w:rPr>
        <w:t>Roadmap</w:t>
      </w:r>
      <w:proofErr w:type="spellEnd"/>
      <w:r>
        <w:rPr>
          <w:rFonts w:ascii="Trebuchet MS" w:eastAsia="Trebuchet MS" w:hAnsi="Trebuchet MS" w:cs="Trebuchet MS"/>
          <w:b/>
          <w:bCs/>
          <w:color w:val="855023"/>
          <w:sz w:val="30"/>
          <w:szCs w:val="30"/>
        </w:rPr>
        <w:t xml:space="preserve"> de Alto Nível</w:t>
      </w:r>
      <w:bookmarkEnd w:id="14"/>
    </w:p>
    <w:p w14:paraId="4765B614" w14:textId="77777777" w:rsidR="00C82D5F" w:rsidRDefault="00000000">
      <w:pPr>
        <w:spacing w:after="160" w:line="300" w:lineRule="auto"/>
        <w:jc w:val="both"/>
      </w:pPr>
      <w:r>
        <w:t xml:space="preserve">Fase 1 — Protótipo navegável validado pela gestão (2 semanas). </w:t>
      </w:r>
    </w:p>
    <w:p w14:paraId="38D2A909" w14:textId="77777777" w:rsidR="00C82D5F" w:rsidRDefault="00000000">
      <w:pPr>
        <w:spacing w:after="160" w:line="300" w:lineRule="auto"/>
        <w:jc w:val="both"/>
      </w:pPr>
      <w:r>
        <w:t xml:space="preserve">Fase 2 — MVP em produção com dados reais, login por perfil e treinamento da equipe (4 a 6 semanas). </w:t>
      </w:r>
    </w:p>
    <w:p w14:paraId="74A73446" w14:textId="2406ED84" w:rsidR="00963C4F" w:rsidRDefault="00000000">
      <w:pPr>
        <w:spacing w:after="160" w:line="300" w:lineRule="auto"/>
        <w:jc w:val="both"/>
      </w:pPr>
      <w:r>
        <w:t xml:space="preserve">Fase 3 — Evolução: cobrança automatizada, notificações WhatsApp e ativação </w:t>
      </w:r>
      <w:proofErr w:type="spellStart"/>
      <w:r>
        <w:t>multi-núcleo</w:t>
      </w:r>
      <w:proofErr w:type="spellEnd"/>
      <w:r>
        <w:t xml:space="preserve"> para a expansão nacional (8 a 12 semanas). O detalhamento por sprint constará do Plano de Desenvolvimento (Bloco D).</w:t>
      </w:r>
    </w:p>
    <w:sectPr w:rsidR="00963C4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7E862" w14:textId="77777777" w:rsidR="00407A62" w:rsidRDefault="00407A62">
      <w:r>
        <w:separator/>
      </w:r>
    </w:p>
  </w:endnote>
  <w:endnote w:type="continuationSeparator" w:id="0">
    <w:p w14:paraId="00BA7499" w14:textId="77777777" w:rsidR="00407A62" w:rsidRDefault="00407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7344A" w14:textId="085D43DD" w:rsidR="00963C4F" w:rsidRDefault="00000000">
    <w:pPr>
      <w:pBdr>
        <w:top w:val="single" w:sz="6" w:space="0" w:color="CAAA67"/>
      </w:pBdr>
      <w:spacing w:before="80"/>
      <w:jc w:val="center"/>
    </w:pPr>
    <w:r>
      <w:rPr>
        <w:color w:val="855023"/>
        <w:sz w:val="16"/>
        <w:szCs w:val="16"/>
      </w:rPr>
      <w:t xml:space="preserve">Visão do Produto — Confidencial | FONS </w:t>
    </w:r>
    <w:proofErr w:type="gramStart"/>
    <w:r>
      <w:rPr>
        <w:color w:val="855023"/>
        <w:sz w:val="16"/>
        <w:szCs w:val="16"/>
      </w:rPr>
      <w:t>Consultoria  •</w:t>
    </w:r>
    <w:proofErr w:type="gramEnd"/>
    <w:r>
      <w:rPr>
        <w:color w:val="855023"/>
        <w:sz w:val="16"/>
        <w:szCs w:val="16"/>
      </w:rPr>
      <w:t xml:space="preserve">  Página </w:t>
    </w:r>
    <w:r>
      <w:fldChar w:fldCharType="begin"/>
    </w:r>
    <w:r>
      <w:instrText>PAGE</w:instrText>
    </w:r>
    <w:r>
      <w:fldChar w:fldCharType="separate"/>
    </w:r>
    <w:r w:rsidR="00106F4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5EF6E" w14:textId="77777777" w:rsidR="00407A62" w:rsidRDefault="00407A62">
      <w:r>
        <w:separator/>
      </w:r>
    </w:p>
  </w:footnote>
  <w:footnote w:type="continuationSeparator" w:id="0">
    <w:p w14:paraId="27F1EDEF" w14:textId="77777777" w:rsidR="00407A62" w:rsidRDefault="00407A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73449" w14:textId="77777777" w:rsidR="00963C4F" w:rsidRDefault="00000000">
    <w:pPr>
      <w:pBdr>
        <w:bottom w:val="single" w:sz="6" w:space="0" w:color="CAAA67"/>
      </w:pBdr>
      <w:spacing w:after="120"/>
      <w:jc w:val="right"/>
    </w:pPr>
    <w:r>
      <w:rPr>
        <w:rFonts w:ascii="Trebuchet MS" w:eastAsia="Trebuchet MS" w:hAnsi="Trebuchet MS" w:cs="Trebuchet MS"/>
        <w:b/>
        <w:bCs/>
        <w:color w:val="855023"/>
        <w:sz w:val="18"/>
        <w:szCs w:val="18"/>
      </w:rPr>
      <w:t xml:space="preserve">MASON CONNECT  </w:t>
    </w:r>
    <w:r>
      <w:rPr>
        <w:noProof/>
      </w:rPr>
      <w:drawing>
        <wp:inline distT="0" distB="0" distL="0" distR="0" wp14:anchorId="74A7344B" wp14:editId="74A7344C">
          <wp:extent cx="323850" cy="285750"/>
          <wp:effectExtent l="0" t="0" r="0" b="0"/>
          <wp:docPr id="2028551975" name="Imagem 20285519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82A2B"/>
    <w:multiLevelType w:val="hybridMultilevel"/>
    <w:tmpl w:val="62B40156"/>
    <w:lvl w:ilvl="0" w:tplc="BD609664">
      <w:start w:val="1"/>
      <w:numFmt w:val="bullet"/>
      <w:lvlText w:val="●"/>
      <w:lvlJc w:val="left"/>
      <w:pPr>
        <w:ind w:left="720" w:hanging="360"/>
      </w:pPr>
    </w:lvl>
    <w:lvl w:ilvl="1" w:tplc="0402288C">
      <w:start w:val="1"/>
      <w:numFmt w:val="bullet"/>
      <w:lvlText w:val="○"/>
      <w:lvlJc w:val="left"/>
      <w:pPr>
        <w:ind w:left="1440" w:hanging="360"/>
      </w:pPr>
    </w:lvl>
    <w:lvl w:ilvl="2" w:tplc="E2E06C62">
      <w:start w:val="1"/>
      <w:numFmt w:val="bullet"/>
      <w:lvlText w:val="■"/>
      <w:lvlJc w:val="left"/>
      <w:pPr>
        <w:ind w:left="2160" w:hanging="360"/>
      </w:pPr>
    </w:lvl>
    <w:lvl w:ilvl="3" w:tplc="77161CA8">
      <w:start w:val="1"/>
      <w:numFmt w:val="bullet"/>
      <w:lvlText w:val="●"/>
      <w:lvlJc w:val="left"/>
      <w:pPr>
        <w:ind w:left="2880" w:hanging="360"/>
      </w:pPr>
    </w:lvl>
    <w:lvl w:ilvl="4" w:tplc="A6EEA798">
      <w:start w:val="1"/>
      <w:numFmt w:val="bullet"/>
      <w:lvlText w:val="○"/>
      <w:lvlJc w:val="left"/>
      <w:pPr>
        <w:ind w:left="3600" w:hanging="360"/>
      </w:pPr>
    </w:lvl>
    <w:lvl w:ilvl="5" w:tplc="1C0A0942">
      <w:start w:val="1"/>
      <w:numFmt w:val="bullet"/>
      <w:lvlText w:val="■"/>
      <w:lvlJc w:val="left"/>
      <w:pPr>
        <w:ind w:left="4320" w:hanging="360"/>
      </w:pPr>
    </w:lvl>
    <w:lvl w:ilvl="6" w:tplc="AE2C6F5A">
      <w:start w:val="1"/>
      <w:numFmt w:val="bullet"/>
      <w:lvlText w:val="●"/>
      <w:lvlJc w:val="left"/>
      <w:pPr>
        <w:ind w:left="5040" w:hanging="360"/>
      </w:pPr>
    </w:lvl>
    <w:lvl w:ilvl="7" w:tplc="3D48554A">
      <w:start w:val="1"/>
      <w:numFmt w:val="bullet"/>
      <w:lvlText w:val="●"/>
      <w:lvlJc w:val="left"/>
      <w:pPr>
        <w:ind w:left="5760" w:hanging="360"/>
      </w:pPr>
    </w:lvl>
    <w:lvl w:ilvl="8" w:tplc="6F769C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B6190C"/>
    <w:multiLevelType w:val="hybridMultilevel"/>
    <w:tmpl w:val="414C6B64"/>
    <w:lvl w:ilvl="0" w:tplc="70E0CA46">
      <w:start w:val="1"/>
      <w:numFmt w:val="bullet"/>
      <w:lvlText w:val="•"/>
      <w:lvlJc w:val="left"/>
      <w:pPr>
        <w:ind w:left="500" w:hanging="260"/>
      </w:pPr>
    </w:lvl>
    <w:lvl w:ilvl="1" w:tplc="59D82166">
      <w:numFmt w:val="decimal"/>
      <w:lvlText w:val=""/>
      <w:lvlJc w:val="left"/>
    </w:lvl>
    <w:lvl w:ilvl="2" w:tplc="AC664CDC">
      <w:numFmt w:val="decimal"/>
      <w:lvlText w:val=""/>
      <w:lvlJc w:val="left"/>
    </w:lvl>
    <w:lvl w:ilvl="3" w:tplc="0D70FBDA">
      <w:numFmt w:val="decimal"/>
      <w:lvlText w:val=""/>
      <w:lvlJc w:val="left"/>
    </w:lvl>
    <w:lvl w:ilvl="4" w:tplc="775474D8">
      <w:numFmt w:val="decimal"/>
      <w:lvlText w:val=""/>
      <w:lvlJc w:val="left"/>
    </w:lvl>
    <w:lvl w:ilvl="5" w:tplc="20861B68">
      <w:numFmt w:val="decimal"/>
      <w:lvlText w:val=""/>
      <w:lvlJc w:val="left"/>
    </w:lvl>
    <w:lvl w:ilvl="6" w:tplc="C518C4F4">
      <w:numFmt w:val="decimal"/>
      <w:lvlText w:val=""/>
      <w:lvlJc w:val="left"/>
    </w:lvl>
    <w:lvl w:ilvl="7" w:tplc="7A18597C">
      <w:numFmt w:val="decimal"/>
      <w:lvlText w:val=""/>
      <w:lvlJc w:val="left"/>
    </w:lvl>
    <w:lvl w:ilvl="8" w:tplc="478AEF1C">
      <w:numFmt w:val="decimal"/>
      <w:lvlText w:val=""/>
      <w:lvlJc w:val="left"/>
    </w:lvl>
  </w:abstractNum>
  <w:num w:numId="1" w16cid:durableId="299267116">
    <w:abstractNumId w:val="0"/>
    <w:lvlOverride w:ilvl="0">
      <w:startOverride w:val="1"/>
    </w:lvlOverride>
  </w:num>
  <w:num w:numId="2" w16cid:durableId="17624148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C4F"/>
    <w:rsid w:val="00106F4F"/>
    <w:rsid w:val="00407A62"/>
    <w:rsid w:val="006518DE"/>
    <w:rsid w:val="00963C4F"/>
    <w:rsid w:val="00C8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733BC"/>
  <w15:docId w15:val="{4BD443EC-DB79-41DA-A3AA-ECB71EB3D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color w:val="3A3A3A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106F4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06F4F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1507</Words>
  <Characters>8139</Characters>
  <Application>Microsoft Office Word</Application>
  <DocSecurity>0</DocSecurity>
  <Lines>67</Lines>
  <Paragraphs>19</Paragraphs>
  <ScaleCrop>false</ScaleCrop>
  <Company/>
  <LinksUpToDate>false</LinksUpToDate>
  <CharactersWithSpaces>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LuetilLuetil Neto</cp:lastModifiedBy>
  <cp:revision>3</cp:revision>
  <dcterms:created xsi:type="dcterms:W3CDTF">2026-07-04T00:51:00Z</dcterms:created>
  <dcterms:modified xsi:type="dcterms:W3CDTF">2026-07-04T13:21:00Z</dcterms:modified>
</cp:coreProperties>
</file>