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A: Fundação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 02 / BLOCO A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Documento de Regras de Negócio — v2.0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34 regras consolidadas: definições da gestão detalhadas + propostas da consultoria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Introdução e Convenções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Este documento consolida o conjunto normativo do Sistema Mason Connect na versão 2.0: as 13 regras definidas pela gestão (RN-01 a RN-13, agora com detalhamento executivo) e as 21 regras complementares propostas pela consultoria (RN-14 a RN-34), derivadas da estrutura organizacional do grupo, dos formatos de reunião, das dinâmicas e da metodologia dos 12 Pilares do Empresário Conector de Elite. Cada regra indica seu status: as definidas pela gestão são requisitos obrigatórios; as propostas aguardam ratificação em reunião de gestão. Nenhuma regra parametrizável reside em código: valores, limites e políticas vivem em telas de configuração do perfil Gestor.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Bloco 1 — Admissão e Membros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RN-01 — Elegibilidade: Maçom devidamente registrado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Somente Maçons regulares, devidamente registrados junto à sua Potência, podem ser membros do Mason Connect.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Cadastro com três campos obrigatórios e bloqueantes: CIM, Loja e Potência. A verificação de regularidade é humana — o Gestor confirma a autenticidade no ato da aprovação, e o sistema registra quem validou e quando.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Irmão em processo de regularização entra como status 'Em análise', sem acesso. Perda de regularidade posterior permite suspensão pelo Gestor, preservando todo o histórico.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P7 — Confiança: o vínculo fraterno é o filtro de entrada que diferencia o grupo de qualquer networking comum.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RN-02 — Aprovação pelo Membro Gestor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admissão de novos membros é prerrogativa exclusiva do Membro Gestor.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Todo cadastro nasce com status Pendente, invisível aos demais membros. Apenas o perfil Gestor vê a fila e executa aprovação ou recusa (com motivo opcional), ambas gravadas na trilha de auditoria com autor, data e hora.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Havendo múltiplos Gestores, a aprovação de um é suficiente; dupla aprovação é parâmetro opcional.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P6 — Autoridade Natural: a coerência do rito de admissão dá peso à cadeira de cada membro.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RN-03 — Categorias: Gestor, Administrativo e Empresário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Existem três categorias de membro: Membro Gestor, Membro Administrativo e Membro Empresário.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Categoria é simultaneamente papel organizacional e perfil de acesso. Gestor: acesso total (aprovações, finanças, parâmetros, confirmações). Administrativo: opera a rotina (reuniões, presenças, convidados, lançamentos), sem alterar regras nem aprovar membros. Empresário: vê a própria situação, registra indicações e consulta o diretório. Categoria é atributo mutável e auditado — promoção não exige novo cadastro.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Gestores e Administrativos permanecem membros plenos: participam, indicam e recebem indicações normalmente.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RN-04a — Visitante: não existe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Não há figura de visitante: toda pessoa presente em reunião é membro ou convidado cadastrado.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lista de presença de qualquer reunião aceita apenas duas origens — a base de membros e a base de convidados daquela reunião. Não existe campo 'outros presentes'.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P7 — Confiança, no componente de discrição: ninguém anônimo na sala.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RN-04b — Convidado vinculado a reunião e anfitrião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cadastro de convidado é sempre vinculado a uma reunião específica e a um membro anfitrião.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Registro com nome, empresa, contato, anfitrião, reunião e campo 'compareceu (S/N)'. O anfitrião responde socialmente pelo convidado; o histórico contabiliza convidados trazidos por membro como métrica de contribuição.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Retorno do convidado gera novo registro vinculado; o sistema detecta recorrência e sinaliza ao Gestor o momento de formalizar candidatura. Convidado Maçom pode ter o cadastro convertido em membro pendente.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P9 — Disciplina Social (responsabilidade do anfitrião) e P11 — Abundância (quem traz convidados gera valor ao grupo).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RN-05 — Suplente: sim, desde que Maçom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É admitida a figura do suplente, obrigatoriamente Maçom.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suplente passa pela mesma validação da RN-01 (CIM, Loja, Potência) e pelo mesmo fluxo de aprovação da RN-02. Flag 'Suplente' no cadastro.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Decisões parametrizáveis pendentes: (a) suplente indica em nome próprio ou do titular? (b) limite de representações por período?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RN-14 — Exclusividade de cadeira por segmento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Cada núcleo admite apenas um membro titular por segmento de atuação — a 'cadeira'.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sistema bloqueia novo cadastro em segmento já ocupado e mantém lista de espera por segmento.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Segmentos são tabela parametrizável; casos-limite de sobreposição são arbitrados pelo Gestor.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P4 — Visão Sistêmica: um ecossistema equilibrado, sem conflito interno de interesses.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RN-15 — Jornada de onboarding obrigatória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Todo membro aprovado percorre jornada de integração estruturada.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Checklist automático: boas-vindas, apresentação dos 12 Pilares, primeira reunião 1 a 1 com padrinho designado. Onboarding incompleto após 30 dias gera sinalização ao Gestor.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P1 — Presença Estratégica e P9 — Disciplina Social desde o primeiro dia.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RN-16 — Desligamento e reativação com histórico perpétuo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desligamento é decisão do Gestor, sempre com motivo registrado; o histórico jamais é apagado.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Motivos tipificados: faltas, conduta, inadimplência voluntária ou pedido próprio. Reativação recupera a trajetória completa do membro.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P6 — Autoridade Natural: decisões coerentes e memória institucional.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RN-17 — Suplente vinculado a titular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suplente é vinculado a um membro titular específico e atua em nome dele.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Presença por suplente registra o titular como 'representado'. O suplente não acumula presença própria nem ocupa cadeira própria.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Sugestão: máximo de 2 representações por trimestre (parâmetro).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Bloco 2 — Reuniões e Presença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RN-08a — Faltar é permitido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ausência em reunião é permitida e tratada sem penalização isolada.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Cada reunião gera lista de presença; ausências recebem status 'falta', 'falta justificada' ou 'representado por suplente'. Nenhuma consequência automática decorre de falta isolada.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RN-08b — Limite de 3 faltas consecutivas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limite de tolerância é de 3 faltas em reuniões consecutivas.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Contador individual que incrementa a cada falta em reunião obrigatória e zera com qualquer presença. Alerta preventivo ao Gestor na 2ª falta consecutiva (momento da ligação fraterna) e sinalização crítica na 3ª. Atingir o limite não desliga automaticamente: abre caso para decisão humana registrada.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Parâmetros pendentes de definição: falta justificada pausa, zera ou conta? Presença por suplente zera o contador do titular? Quais tipos de reunião contam?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P9 — Disciplina Social aplicada pela gestão ao cuidado com o próprio membro.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RN-18 — Tipos de reunião parametrizados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sistema reconhece os formatos oficiais do grupo, cada um com regra própria de presença.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Tipos: reunião quinzenal online, coworking presencial mensal, reunião exclusiva de membros e jantar de negócios (opcional — não conta falta). Novos tipos são criados pelo Gestor sem código.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RN-19 — Justificativa de falta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Falta comunicada com antecedência mínima entra como justificada.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Sugestão: 24 horas de antecedência. A justificada não soma no contador de consecutivas; falta sem aviso conta integralmente.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gestão define se a justificada pausa ou zera o contador (decisão pendente nº 2).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RN-20 — Presença por suplente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substituição registra a presença do titular como 'representado'.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Não conta falta; o dashboard de engajamento distingue presença própria de representação.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Limite sugerido: 2 representações por trimestre (parâmetro).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RN-21 — Limite e recorrência de convidados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Há limite de convidados por membro por reunião e limite de recorrência do mesmo convidado.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Sugestão: até 2 convidados por membro por reunião; o mesmo convidado participa de no máximo 2 reuniões antes de formalizar candidatura — coerente com a RN-04a.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RN-22 — Registro das dinâmicas oficiais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Hot Seat, Rodada de Negócios, Membro Destaque e reuniões 1 a 1 são registrados na pauta.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Cada dinâmica alimenta o histórico de participação do membro, base dos rankings e do reconhecimento.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P9 — Disciplina Social: manutenção de vínculo registrada, não presumida.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Bloco 3 — Indicações e Negócios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RN-10 — Todos os membros podem indicar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prerrogativa de indicar negócios é de todos os membros, sem hierarquia.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Formulário único para os três perfis: indicador, destinatário (membro/empresa), descrição e data. Dois contextos de origem distinguidos: registro ao vivo na Rodada de Negócios (pelo Administrativo) ou registro individual pelo aplicativo a qualquer momento.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P4 — Visão Sistêmica: quanto mais olhos registrando conexões, mais rico o mapa de oportunidades.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RN-11 — Crédito perpétuo ao membro indicador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crédito de toda indicação pertence ao membro indicador.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campo indicador é imutável após o registro — nem o Gestor o edita; correção exige cancelar e recriar, com auditoria. O indicador pontua em rankings, Membro Destaque e histórico de contribuição, independentemente de quem executa o trabalho.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Indicação conjunta: co-indicador opcional com divisão do crédito reputacional.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P7 e P11 — a garantia de que o crédito jamais se perde é o que faz os membros registrarem tudo.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RN-12 — Contabilização do fechamento: indicador + trabalho + valor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Todo negócio fechado registra o membro indicador, o trabalho realizado e o valor em R$.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Três campos obrigatórios: o indicador é herdado da indicação de origem (impossível errar); o trabalho realizado documenta a entrega (memória institucional e prova social); o valor alimenta os dashboards.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Sigilo recomendado (RN-26): valor individual visível apenas ao indicador, às partes e à gestão; painéis do grupo mostram agregados.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P7 — celebra-se a prosperidade coletiva sem expor o faturamento de ninguém.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RN-13 — Fechamento pelo OK formal de um membro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Um negócio é considerado fechado quando um membro dá o OK.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Botão 'Confirmar Fechamento' registra autor, data e hora — definitivo; estorno apenas pelo Gestor, com motivo auditado. O fechamento dispara a entrada nos dashboards e a inclusão na pauta de reconhecimentos da reunião seguinte.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Decisão pendente nº 4: qual membro dá o OK? Recomendação: o membro que recebeu a indicação e executou o trabalho, com notificação automática ao indicador.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P3 — Persuasão Ética: reciprocidade e prova social genuínas.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RN-09 — Comissão: política a definir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gestão definiu 'sim e não' — a política de comissão está deliberadamente em aberto.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campo comissão existe como opcional e habilitável por parâmetro, acomodando qualquer das três políticas possíveis: (a) sem comissão — retribuição por reconhecimento; (b) comissão voluntária acordada entre as partes, apenas registrada; (c) percentual padrão revertido ao caixa do grupo.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Recomendação da consultoria: política (b) — preserva a Mentalidade de Abundância (P11), respeita a autonomia entre Irmãos e mantém o grupo fora da cadeia comercial. Decisão pendente nº 1.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P11 — quem gera valor torna-se inesquecível; a comissão jamais pode substituir o vínculo.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RN-23 — SLA de retorno da indicação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Quem recebe uma indicação tem prazo para registrar o primeiro contato.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Sugestão: 7 dias. Indicação sem retorno no prazo gera alerta ao destinatário e visibilidade ao Gestor.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P7 — protege a reputação do indicador e a confiança do grupo.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RN-24 — Ciclo de vida da indicação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Estados formais e imutáveis em histórico: Registrada → Em contato → Negócio em andamento → Fechado / Perdido.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Negócio perdido exige motivo. Nada é excluído: o funil completo alimenta os dashboards de conversão.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RN-25 — Reconhecimento público registrado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Todo fechamento confirmado entra na pauta de reconhecimento da reunião seguinte.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sistema gera o item de pauta automaticamente, sem exposição de valores se o membro preferir sigilo.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P3 — prova social e reciprocidade genuína, nunca 'empurrada'.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RN-26 — Sigilo de valores individuais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valor em R$ de cada negócio é informação restrita.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Visível apenas ao indicador, às partes e à gestão. Dashboards abertos ao grupo exibem exclusivamente valores agregados.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P7 — discrição como componente estrutural da confiança.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RN-27 — Critério transparente de Membro Destaque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reconhecimento periódico é calculado por fórmula pública e parametrizável.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Componentes: presenças + indicações registradas + negócios fechados gerados a terceiros + convidados trazidos, com pesos definidos pelo Gestor.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P11 — o algoritmo premia quem gera valor ao grupo, não quem apenas recebe.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5. Bloco 4 — Financeiro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RN-06 — Três planos de mensalidade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Planos vigentes: Gratuito (R$ 0,00), Mensal (R$ 130,00) e Anual (R$ 1.248,00).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Tabela de planos editável pelo Gestor — alterar valor jamais exige programador. Plano Mensal gera mensalidade por competência; Anual gera cobrança única (equivalente a R$ 104,00/mês — desconto efetivo de 20%, argumento comercial da adesão). Troca de plano vale a partir da competência seguinte, sem retroativo.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Plano Gratuito exige justificativa registrada (RN-29).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RN-07 — Sem regra de atraso e sem multa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4E7A3A"/>
          <w:sz w:val="17"/>
          <w:szCs w:val="17"/>
        </w:rPr>
        <w:t xml:space="preserve">Status: Definida pela gestão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Não há juros, multa nem qualquer penalidade financeira sobre mensalidade em atraso.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Mensalidade vencida apenas muda de status (Aberta → Em atraso) e aparece nos relatórios de situação. Nenhuma cobrança automática agressiva.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regra não elimina a visibilidade: o Gestor enxerga os casos em aberto para conduzir a conversa fraterna (ver RN-28).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P10 — Controle Emocional aplicado à gestão: cobrança sem ansiedade nem constrangimento.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RN-28 — Alerta de inadimplência prolongada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Três competências consecutivas em aberto geram alerta ao Gestor.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sistema informa; o ser humano decide. Nenhuma suspensão é automática.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P10 — o alerta existe para viabilizar a conversa fraterna no momento certo.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RN-29 — Plano gratuito com critério e justificativa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atribuição do plano R$ 0,00 exige enquadramento em critério definido pela gestão e justificativa registrada.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Critérios sugeridos: fundadores, Gestores em exercício, cortesia de onboarding. Decisão pendente nº 3.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P6 — isenções com critério preservam a coerência que sustenta a autoridade.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RN-30 — Rateio de coffee break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A despesa de coffee break vinculada à reunião pode ser custeada pelo caixa ou rateada entre presentes.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Modalidade definida por reunião, com prestação de contas automática no extrato.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RN-31 — Toda mensalidade paga gera lançamento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pagamento de mensalidade gera automaticamente lançamento de receita no caixa.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Regra estrutural do modelo de dados: caixa e mensalidades jamais dessincronizam.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6. Bloco 5 — Governança, Conduta e Expansão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RN-32 — Código de conduta dos Pilares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Condutas vedadas pela metodologia geram ocorrência registrável.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Tipificação derivada do 'que ele nunca faz': networking por interesse imediato, falsidade relacional, promessas vazias, exposição desnecessária, pressão agressiva e manipulação emocional. Três ocorrências validadas pela gestão abrem processo de revisão da permanência.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Casos de borda e parâmetros.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Ocorrências são visíveis apenas à gestão — discrição (P7) também na correção.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P3 e P6 — relações artificiais produzem negócios frágeis; a coerência é vigiada com método.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RN-33 — Trilha de auditoria imutável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Toda ação crítica registra autor, data e hora, de forma imutável.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Escopo mínimo: aprovação/recusa de membro, desligamento, confirmação e estorno de negócio, lançamentos financeiros, alteração de plano e de parâmetros.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P6 — Autoridade Natural: coerência demonstrável gera confiança institucional.</w:t>
      </w:r>
    </w:p>
    <w:p>
      <w:pPr>
        <w:pStyle w:val="Heading3"/>
        <w:spacing w:after="60" w:before="240"/>
      </w:pPr>
      <w:r>
        <w:rPr>
          <w:rFonts w:ascii="Trebuchet MS" w:cs="Trebuchet MS" w:eastAsia="Trebuchet MS" w:hAnsi="Trebuchet MS"/>
          <w:b/>
          <w:bCs/>
          <w:color w:val="6B4A2B"/>
          <w:sz w:val="21"/>
          <w:szCs w:val="21"/>
        </w:rPr>
        <w:t xml:space="preserve">RN-34 — Estrutura multi-núcleo</w:t>
      </w:r>
    </w:p>
    <w:p>
      <w:pPr>
        <w:spacing w:after="100"/>
      </w:pPr>
      <w:r>
        <w:rPr>
          <w:rFonts w:ascii="Verdana" w:cs="Verdana" w:eastAsia="Verdana" w:hAnsi="Verdana"/>
          <w:i/>
          <w:iCs/>
          <w:color w:val="8A5A17"/>
          <w:sz w:val="17"/>
          <w:szCs w:val="17"/>
        </w:rPr>
        <w:t xml:space="preserve">Status: Proposta da consultoria — pendente de ratificação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Enunciado.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Cada núcleo estadual futuro opera com dados isolados; a direção nacional acessa a visão consolidada.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Implementação no sistema.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O modelo de dados nasce com identificador de núcleo em todas as entidades. No MVP existe um único núcleo ativo; a expansão não exigirá migração.</w:t>
      </w:r>
    </w:p>
    <w:p>
      <w:pPr>
        <w:spacing w:after="200" w:line="300"/>
        <w:jc w:val="both"/>
      </w:pPr>
      <w:r>
        <w:rPr>
          <w:rFonts w:ascii="Verdana" w:cs="Verdana" w:eastAsia="Verdana" w:hAnsi="Verdana"/>
          <w:b/>
          <w:bCs/>
          <w:color w:val="3A3A3A"/>
          <w:sz w:val="20"/>
          <w:szCs w:val="20"/>
        </w:rPr>
        <w:t xml:space="preserve">Pilar sustentado. </w:t>
      </w:r>
      <w:r>
        <w:rPr>
          <w:rFonts w:ascii="Verdana" w:cs="Verdana" w:eastAsia="Verdana" w:hAnsi="Verdana"/>
          <w:color w:val="3A3A3A"/>
          <w:sz w:val="20"/>
          <w:szCs w:val="20"/>
        </w:rPr>
        <w:t xml:space="preserve">P12 — Propósito e Legado: a arquitetura já carrega a ambição nacional.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7. Decisões Pendentes de Ratificação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700"/>
        <w:gridCol w:w="3800"/>
        <w:gridCol w:w="4526"/>
      </w:tblGrid>
      <w:tr>
        <w:trPr>
          <w:tblHeader/>
        </w:trPr>
        <w:tc>
          <w:tcPr>
            <w:tcW w:type="dxa" w:w="7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8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4526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Recomendação da consultoria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Política de comissão (RN-09)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Opção (b): comissão voluntária acordada entre as partes, apenas registrada no sistema.</w:t>
            </w:r>
          </w:p>
        </w:tc>
      </w:tr>
      <w:tr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Falta justificada e suplência no contador (RN-08b/19/20)</w:t>
            </w:r>
          </w:p>
        </w:tc>
        <w:tc>
          <w:tcPr>
            <w:tcW w:type="dxa" w:w="45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Justificada não soma nem zera (pausa); presença por suplente zera o contador do titular.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Critérios do plano Gratuito (RN-29)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Fundadores, Gestores em exercício e cortesia de onboarding (primeiros 60 dias).</w:t>
            </w:r>
          </w:p>
        </w:tc>
      </w:tr>
      <w:tr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Titular do OK de fechamento (RN-13)</w:t>
            </w:r>
          </w:p>
        </w:tc>
        <w:tc>
          <w:tcPr>
            <w:tcW w:type="dxa" w:w="45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O membro que recebeu a indicação e executou o trabalho, com notificação automática ao indicador.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8. Matriz Regra × Módulo do Sistema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826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Regras aplicáveis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Cadastros (núcleo)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RN-01, 02, 03, 04a, 04b, 05, 14, 15, 16, 17</w:t>
            </w:r>
          </w:p>
        </w:tc>
      </w:tr>
      <w:tr>
        <w:tc>
          <w:tcPr>
            <w:tcW w:type="dxa" w:w="32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Operação de Reuniões</w:t>
            </w:r>
          </w:p>
        </w:tc>
        <w:tc>
          <w:tcPr>
            <w:tcW w:type="dxa" w:w="58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RN-08a, 08b, 18, 19, 20, 21, 22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Indicações e Negócios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RN-09, 10, 11, 12, 13, 23, 24, 25, 26, 27</w:t>
            </w:r>
          </w:p>
        </w:tc>
      </w:tr>
      <w:tr>
        <w:tc>
          <w:tcPr>
            <w:tcW w:type="dxa" w:w="32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Financeiro</w:t>
            </w:r>
          </w:p>
        </w:tc>
        <w:tc>
          <w:tcPr>
            <w:tcW w:type="dxa" w:w="58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RN-06, 07, 28, 29, 30, 31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Transversais (governança)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RN-32, 33, 34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Regras de Negócio v2.0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2026-07-04T00:51:54.815Z</dcterms:created>
  <dcterms:modified xsi:type="dcterms:W3CDTF">2026-07-04T00:51:54.815Z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