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420"/>
        <w:jc w:val="center"/>
      </w:pPr>
      <w:r>
        <w:drawing>
          <wp:inline distT="0" distB="0" distL="0" distR="0">
            <wp:extent cx="1619250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rebuchet MS" w:cs="Trebuchet MS" w:eastAsia="Trebuchet MS" w:hAnsi="Trebuchet MS"/>
          <w:b/>
          <w:bCs/>
          <w:color w:val="855023"/>
          <w:sz w:val="56"/>
          <w:szCs w:val="56"/>
        </w:rPr>
        <w:t xml:space="preserve">MASON CONNECT</w:t>
      </w:r>
    </w:p>
    <w:p>
      <w:pPr>
        <w:spacing w:after="340"/>
        <w:jc w:val="center"/>
      </w:pPr>
      <w:r>
        <w:rPr>
          <w:rFonts w:ascii="Trebuchet MS" w:cs="Trebuchet MS" w:eastAsia="Trebuchet MS" w:hAnsi="Trebuchet MS"/>
          <w:color w:val="CAAA67"/>
          <w:sz w:val="24"/>
          <w:szCs w:val="24"/>
        </w:rPr>
        <w:t xml:space="preserve">Projeto de Engenharia de Software — Bloco A: Fundação</w:t>
      </w:r>
    </w:p>
    <w:p>
      <w:pPr>
        <w:spacing w:after="80"/>
        <w:jc w:val="center"/>
      </w:pPr>
      <w:r>
        <w:rPr>
          <w:rFonts w:ascii="Verdana" w:cs="Verdana" w:eastAsia="Verdana" w:hAnsi="Verdana"/>
          <w:b/>
          <w:bCs/>
          <w:color w:val="6B4A2B"/>
          <w:sz w:val="20"/>
          <w:szCs w:val="20"/>
        </w:rPr>
        <w:t xml:space="preserve">DOCUMENTO 03 / BLOCO A</w:t>
      </w:r>
    </w:p>
    <w:p>
      <w:pPr>
        <w:spacing w:after="120"/>
        <w:jc w:val="center"/>
      </w:pPr>
      <w:r>
        <w:rPr>
          <w:rFonts w:ascii="Trebuchet MS" w:cs="Trebuchet MS" w:eastAsia="Trebuchet MS" w:hAnsi="Trebuchet MS"/>
          <w:b/>
          <w:bCs/>
          <w:color w:val="3A3A3A"/>
          <w:sz w:val="34"/>
          <w:szCs w:val="34"/>
        </w:rPr>
        <w:t xml:space="preserve">Especificação de Requisitos de Software (SRS)</w:t>
      </w:r>
    </w:p>
    <w:p>
      <w:pPr>
        <w:spacing w:after="800"/>
        <w:jc w:val="center"/>
      </w:pPr>
      <w:r>
        <w:rPr>
          <w:rFonts w:ascii="Verdana" w:cs="Verdana" w:eastAsia="Verdana" w:hAnsi="Verdana"/>
          <w:i/>
          <w:iCs/>
          <w:color w:val="3A3A3A"/>
          <w:sz w:val="19"/>
          <w:szCs w:val="19"/>
        </w:rPr>
        <w:t xml:space="preserve">38 requisitos funcionais rastreados às regras de negócio, NFRs e critérios de aceitação</w:t>
      </w:r>
    </w:p>
    <w:p>
      <w:pPr>
        <w:spacing w:after="60"/>
        <w:jc w:val="center"/>
      </w:pPr>
      <w:r>
        <w:rPr>
          <w:rFonts w:ascii="Verdana" w:cs="Verdana" w:eastAsia="Verdana" w:hAnsi="Verdana"/>
          <w:color w:val="3A3A3A"/>
          <w:sz w:val="19"/>
          <w:szCs w:val="19"/>
        </w:rPr>
        <w:t xml:space="preserve">Versão 1.0  •  Julho de 2026  •  Elaboração: FONS Consultoria</w:t>
      </w:r>
    </w:p>
    <w:p>
      <w:pPr>
        <w:jc w:val="center"/>
      </w:pPr>
      <w:r>
        <w:rPr>
          <w:rFonts w:ascii="Verdana" w:cs="Verdana" w:eastAsia="Verdana" w:hAnsi="Verdana"/>
          <w:b/>
          <w:bCs/>
          <w:color w:val="855023"/>
          <w:sz w:val="17"/>
          <w:szCs w:val="17"/>
        </w:rPr>
        <w:t xml:space="preserve">DOCUMENTO CONFIDENCIAL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4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1. Introdução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Esta Especificação de Requisitos de Software (SRS) define o comportamento funcional e os atributos de qualidade do Sistema Mason Connect. Seu público são a gestão do grupo (validação), a equipe de desenvolvimento (construção) e a própria consultoria (testes de aceitação). Documentos de referência: 01 — Visão do Produto e 02 — Regras de Negócio v2.0; cada requisito funcional rastreia as regras que implementa na coluna RN.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Convenções: requisitos codificados RF-NN; prioridades E (essencial ao MVP — Fases 1 e 2), I (importante) e D (desejável — Fase 3). Requisitos derivados de regras propostas pela consultoria herdam a pendência de ratificação da regra correspondente.</w:t>
      </w: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2. Descrição Geral</w:t>
      </w: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2.1 Perspectiva do produto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Aplicação web responsiva (uso predominante em celular durante as reuniões), com autenticação individual e controle de acesso por perfil. Arquitetura em quatro módulos sobre banco de dados único (fonte única de verdade), com camada de relatórios somente-leitura. Estrutura de dados preparada para multi-núcleo desde a origem (RN-34).</w:t>
      </w: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2.2 Perfis de usuário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7126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Resumo de permissões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Gestor</w:t>
            </w:r>
          </w:p>
        </w:tc>
        <w:tc>
          <w:tcPr>
            <w:tcW w:type="dxa" w:w="71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Acesso total: aprovações, desligamentos, parâmetros e planos, finanças, confirmações e estornos, todos os relatórios, valores individuais de negócios.</w:t>
            </w:r>
          </w:p>
        </w:tc>
      </w:tr>
      <w:tr>
        <w:tc>
          <w:tcPr>
            <w:tcW w:type="dxa" w:w="19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Administrativo</w:t>
            </w:r>
          </w:p>
        </w:tc>
        <w:tc>
          <w:tcPr>
            <w:tcW w:type="dxa" w:w="7126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Operação: reuniões, presenças, convidados, dinâmicas, mensalidades e lançamentos; relatórios operacionais; sem alterar regras, aprovar membros ou ver valores individuais de terceiros.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Empresário</w:t>
            </w:r>
          </w:p>
        </w:tc>
        <w:tc>
          <w:tcPr>
            <w:tcW w:type="dxa" w:w="71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Situação própria (mensalidades, presenças, seus negócios), registro de indicações, diretório de membros e empresas, dashboards agregados.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3. Requisitos Funcionais</w:t>
      </w: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3.1 Módulo de Cadastros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850"/>
        <w:gridCol w:w="5600"/>
        <w:gridCol w:w="1300"/>
        <w:gridCol w:w="700"/>
      </w:tblGrid>
      <w:tr>
        <w:trPr>
          <w:tblHeader/>
        </w:trPr>
        <w:tc>
          <w:tcPr>
            <w:tcW w:type="dxa" w:w="850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Cód.</w:t>
            </w:r>
          </w:p>
        </w:tc>
        <w:tc>
          <w:tcPr>
            <w:tcW w:type="dxa" w:w="5600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300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RN</w:t>
            </w:r>
          </w:p>
        </w:tc>
        <w:tc>
          <w:tcPr>
            <w:tcW w:type="dxa" w:w="700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RF-01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Cadastrar, editar e inativar membros com CIM, Loja e Potência obrigatórios e bloqueantes.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01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85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RF-02</w:t>
            </w:r>
          </w:p>
        </w:tc>
        <w:tc>
          <w:tcPr>
            <w:tcW w:type="dxa" w:w="56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Fluxo de aprovação: status Pendente até ativação exclusiva pelo Gestor, com recusa motivada e auditoria.</w:t>
            </w:r>
          </w:p>
        </w:tc>
        <w:tc>
          <w:tcPr>
            <w:tcW w:type="dxa" w:w="13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02, 33</w:t>
            </w:r>
          </w:p>
        </w:tc>
        <w:tc>
          <w:tcPr>
            <w:tcW w:type="dxa" w:w="7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RF-03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Cadastrar empresas (razão social, CNPJ, segmento) e vincular cada membro à sua empresa.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03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85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RF-04</w:t>
            </w:r>
          </w:p>
        </w:tc>
        <w:tc>
          <w:tcPr>
            <w:tcW w:type="dxa" w:w="56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Cadastrar convidado sempre vinculado a reunião e membro anfitrião, com confirmação de comparecimento.</w:t>
            </w:r>
          </w:p>
        </w:tc>
        <w:tc>
          <w:tcPr>
            <w:tcW w:type="dxa" w:w="13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04a, 04b</w:t>
            </w:r>
          </w:p>
        </w:tc>
        <w:tc>
          <w:tcPr>
            <w:tcW w:type="dxa" w:w="7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RF-05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Marcar membro como suplente com as mesmas validações maçônicas e vínculo a um titular.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05, 17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85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RF-06</w:t>
            </w:r>
          </w:p>
        </w:tc>
        <w:tc>
          <w:tcPr>
            <w:tcW w:type="dxa" w:w="56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Diretório de membros e empresas consultável por todos os perfis.</w:t>
            </w:r>
          </w:p>
        </w:tc>
        <w:tc>
          <w:tcPr>
            <w:tcW w:type="dxa" w:w="13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03</w:t>
            </w:r>
          </w:p>
        </w:tc>
        <w:tc>
          <w:tcPr>
            <w:tcW w:type="dxa" w:w="7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RF-23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Controlar cadeiras por segmento: bloqueio de segmento ocupado e lista de espera.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14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85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RF-24</w:t>
            </w:r>
          </w:p>
        </w:tc>
        <w:tc>
          <w:tcPr>
            <w:tcW w:type="dxa" w:w="56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Checklist de onboarding com padrinho designado e sinalização de jornada incompleta após 30 dias.</w:t>
            </w:r>
          </w:p>
        </w:tc>
        <w:tc>
          <w:tcPr>
            <w:tcW w:type="dxa" w:w="13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RF-25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Desligar e reativar membros com motivo tipificado e histórico perpétuo.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16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85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RF-26</w:t>
            </w:r>
          </w:p>
        </w:tc>
        <w:tc>
          <w:tcPr>
            <w:tcW w:type="dxa" w:w="56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Detectar recorrência de convidado e sinalizar candidatura; converter convidado Maçom em membro pendente.</w:t>
            </w:r>
          </w:p>
        </w:tc>
        <w:tc>
          <w:tcPr>
            <w:tcW w:type="dxa" w:w="13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04b, 21</w:t>
            </w:r>
          </w:p>
        </w:tc>
        <w:tc>
          <w:tcPr>
            <w:tcW w:type="dxa" w:w="7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D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3.2 Módulo de Reuniões e Presença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850"/>
        <w:gridCol w:w="5600"/>
        <w:gridCol w:w="1300"/>
        <w:gridCol w:w="700"/>
      </w:tblGrid>
      <w:tr>
        <w:trPr>
          <w:tblHeader/>
        </w:trPr>
        <w:tc>
          <w:tcPr>
            <w:tcW w:type="dxa" w:w="850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Cód.</w:t>
            </w:r>
          </w:p>
        </w:tc>
        <w:tc>
          <w:tcPr>
            <w:tcW w:type="dxa" w:w="5600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300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RN</w:t>
            </w:r>
          </w:p>
        </w:tc>
        <w:tc>
          <w:tcPr>
            <w:tcW w:type="dxa" w:w="700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RF-07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Agendar reuniões por tipo parametrizado (quinzenal online, coworking, exclusiva, jantar), com recorrência.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18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85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RF-08</w:t>
            </w:r>
          </w:p>
        </w:tc>
        <w:tc>
          <w:tcPr>
            <w:tcW w:type="dxa" w:w="56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Registrar presença, falta, falta justificada ou representação por suplente, ao vivo pelo celular.</w:t>
            </w:r>
          </w:p>
        </w:tc>
        <w:tc>
          <w:tcPr>
            <w:tcW w:type="dxa" w:w="13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08a, 19, 20</w:t>
            </w:r>
          </w:p>
        </w:tc>
        <w:tc>
          <w:tcPr>
            <w:tcW w:type="dxa" w:w="7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RF-09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Contar faltas consecutivas por membro, com alerta ao Gestor na 2ª e sinalização crítica na 3ª; sem desligamento automático.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08b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85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RF-10</w:t>
            </w:r>
          </w:p>
        </w:tc>
        <w:tc>
          <w:tcPr>
            <w:tcW w:type="dxa" w:w="56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Registrar justificativa de falta com antecedência mínima parametrizável.</w:t>
            </w:r>
          </w:p>
        </w:tc>
        <w:tc>
          <w:tcPr>
            <w:tcW w:type="dxa" w:w="13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19</w:t>
            </w:r>
          </w:p>
        </w:tc>
        <w:tc>
          <w:tcPr>
            <w:tcW w:type="dxa" w:w="7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RF-11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Registrar reuniões 1 a 1 entre membros, alimentando o histórico de vínculo.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22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85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RF-27</w:t>
            </w:r>
          </w:p>
        </w:tc>
        <w:tc>
          <w:tcPr>
            <w:tcW w:type="dxa" w:w="56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Limitar convidados por membro por reunião e recorrência do mesmo convidado (parâmetros).</w:t>
            </w:r>
          </w:p>
        </w:tc>
        <w:tc>
          <w:tcPr>
            <w:tcW w:type="dxa" w:w="13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21</w:t>
            </w:r>
          </w:p>
        </w:tc>
        <w:tc>
          <w:tcPr>
            <w:tcW w:type="dxa" w:w="7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RF-28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Registrar dinâmicas da pauta (Hot Seat, Rodada de Negócios, Membro Destaque) por reunião e participante.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22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I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3.3 Módulo de Indicações e Negócios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850"/>
        <w:gridCol w:w="5600"/>
        <w:gridCol w:w="1300"/>
        <w:gridCol w:w="700"/>
      </w:tblGrid>
      <w:tr>
        <w:trPr>
          <w:tblHeader/>
        </w:trPr>
        <w:tc>
          <w:tcPr>
            <w:tcW w:type="dxa" w:w="850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Cód.</w:t>
            </w:r>
          </w:p>
        </w:tc>
        <w:tc>
          <w:tcPr>
            <w:tcW w:type="dxa" w:w="5600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300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RN</w:t>
            </w:r>
          </w:p>
        </w:tc>
        <w:tc>
          <w:tcPr>
            <w:tcW w:type="dxa" w:w="700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RF-12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Registrar indicação (indicador imutável, destinatário, descrição, data), ao vivo na reunião ou pelo app.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10, 11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85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RF-13</w:t>
            </w:r>
          </w:p>
        </w:tc>
        <w:tc>
          <w:tcPr>
            <w:tcW w:type="dxa" w:w="56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Gerir o ciclo de vida: Registrada → Em contato → Em andamento → Fechado / Perdido (com motivo).</w:t>
            </w:r>
          </w:p>
        </w:tc>
        <w:tc>
          <w:tcPr>
            <w:tcW w:type="dxa" w:w="13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24</w:t>
            </w:r>
          </w:p>
        </w:tc>
        <w:tc>
          <w:tcPr>
            <w:tcW w:type="dxa" w:w="7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RF-14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Confirmar fechamento com trabalho realizado, valor em R$ e OK formal auditado; estorno apenas pelo Gestor.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12, 13, 33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85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RF-15</w:t>
            </w:r>
          </w:p>
        </w:tc>
        <w:tc>
          <w:tcPr>
            <w:tcW w:type="dxa" w:w="56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Notificar o indicador no fechamento e gerar item na pauta de reconhecimento da reunião seguinte.</w:t>
            </w:r>
          </w:p>
        </w:tc>
        <w:tc>
          <w:tcPr>
            <w:tcW w:type="dxa" w:w="13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13, 25</w:t>
            </w:r>
          </w:p>
        </w:tc>
        <w:tc>
          <w:tcPr>
            <w:tcW w:type="dxa" w:w="7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RF-16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Campo opcional de comissão habilitável por parâmetro conforme política ratificada.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09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85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RF-29</w:t>
            </w:r>
          </w:p>
        </w:tc>
        <w:tc>
          <w:tcPr>
            <w:tcW w:type="dxa" w:w="56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Alertar indicação sem primeiro contato registrado dentro do SLA parametrizável.</w:t>
            </w:r>
          </w:p>
        </w:tc>
        <w:tc>
          <w:tcPr>
            <w:tcW w:type="dxa" w:w="13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23</w:t>
            </w:r>
          </w:p>
        </w:tc>
        <w:tc>
          <w:tcPr>
            <w:tcW w:type="dxa" w:w="7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RF-30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Aplicar sigilo de valores: individuais restritos a indicador, partes e gestão; agregados nos painéis do grupo.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26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85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RF-31</w:t>
            </w:r>
          </w:p>
        </w:tc>
        <w:tc>
          <w:tcPr>
            <w:tcW w:type="dxa" w:w="56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Calcular Membro Destaque por fórmula parametrizável (presenças, indicações, fechamentos, convidados).</w:t>
            </w:r>
          </w:p>
        </w:tc>
        <w:tc>
          <w:tcPr>
            <w:tcW w:type="dxa" w:w="13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27</w:t>
            </w:r>
          </w:p>
        </w:tc>
        <w:tc>
          <w:tcPr>
            <w:tcW w:type="dxa" w:w="7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RF-32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Permitir co-indicador opcional com divisão do crédito reputacional.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11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D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3.4 Módulo Financeiro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850"/>
        <w:gridCol w:w="5600"/>
        <w:gridCol w:w="1300"/>
        <w:gridCol w:w="700"/>
      </w:tblGrid>
      <w:tr>
        <w:trPr>
          <w:tblHeader/>
        </w:trPr>
        <w:tc>
          <w:tcPr>
            <w:tcW w:type="dxa" w:w="850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Cód.</w:t>
            </w:r>
          </w:p>
        </w:tc>
        <w:tc>
          <w:tcPr>
            <w:tcW w:type="dxa" w:w="5600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300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RN</w:t>
            </w:r>
          </w:p>
        </w:tc>
        <w:tc>
          <w:tcPr>
            <w:tcW w:type="dxa" w:w="700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RF-17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Gerar mensalidades por competência conforme plano (Mensal) ou cobrança única (Anual).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06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85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RF-18</w:t>
            </w:r>
          </w:p>
        </w:tc>
        <w:tc>
          <w:tcPr>
            <w:tcW w:type="dxa" w:w="56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Registrar pagamento gerando lançamento de receita automático e conciliado.</w:t>
            </w:r>
          </w:p>
        </w:tc>
        <w:tc>
          <w:tcPr>
            <w:tcW w:type="dxa" w:w="13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31</w:t>
            </w:r>
          </w:p>
        </w:tc>
        <w:tc>
          <w:tcPr>
            <w:tcW w:type="dxa" w:w="7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RF-19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Lançar despesas e receitas avulsas por categoria (coffee break, evento, outros).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85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RF-20</w:t>
            </w:r>
          </w:p>
        </w:tc>
        <w:tc>
          <w:tcPr>
            <w:tcW w:type="dxa" w:w="56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Vincular coffee break à reunião, com modalidade caixa ou rateio entre presentes.</w:t>
            </w:r>
          </w:p>
        </w:tc>
        <w:tc>
          <w:tcPr>
            <w:tcW w:type="dxa" w:w="13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RF-21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Editar planos, valores e parâmetros pelo Gestor, sem intervenção técnica.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06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85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RF-22</w:t>
            </w:r>
          </w:p>
        </w:tc>
        <w:tc>
          <w:tcPr>
            <w:tcW w:type="dxa" w:w="56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Consultar extrato do caixa por período e categoria; status de mensalidade sem multa ou juros.</w:t>
            </w:r>
          </w:p>
        </w:tc>
        <w:tc>
          <w:tcPr>
            <w:tcW w:type="dxa" w:w="13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07</w:t>
            </w:r>
          </w:p>
        </w:tc>
        <w:tc>
          <w:tcPr>
            <w:tcW w:type="dxa" w:w="7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RF-33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Alertar o Gestor sobre 3 competências consecutivas em aberto, sem qualquer suspensão automática.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28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85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RF-34</w:t>
            </w:r>
          </w:p>
        </w:tc>
        <w:tc>
          <w:tcPr>
            <w:tcW w:type="dxa" w:w="56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Exigir justificativa registrada na atribuição do plano Gratuito.</w:t>
            </w:r>
          </w:p>
        </w:tc>
        <w:tc>
          <w:tcPr>
            <w:tcW w:type="dxa" w:w="13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29</w:t>
            </w:r>
          </w:p>
        </w:tc>
        <w:tc>
          <w:tcPr>
            <w:tcW w:type="dxa" w:w="7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I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3.5 Transversais — Governança e Relatórios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850"/>
        <w:gridCol w:w="5600"/>
        <w:gridCol w:w="1300"/>
        <w:gridCol w:w="700"/>
      </w:tblGrid>
      <w:tr>
        <w:trPr>
          <w:tblHeader/>
        </w:trPr>
        <w:tc>
          <w:tcPr>
            <w:tcW w:type="dxa" w:w="850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Cód.</w:t>
            </w:r>
          </w:p>
        </w:tc>
        <w:tc>
          <w:tcPr>
            <w:tcW w:type="dxa" w:w="5600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300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RN</w:t>
            </w:r>
          </w:p>
        </w:tc>
        <w:tc>
          <w:tcPr>
            <w:tcW w:type="dxa" w:w="700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RF-35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Trilha de auditoria imutável de todas as ações críticas (autor, data, hora, antes/depois).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33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85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RF-36</w:t>
            </w:r>
          </w:p>
        </w:tc>
        <w:tc>
          <w:tcPr>
            <w:tcW w:type="dxa" w:w="56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Registrar ocorrências de conduta tipificadas, visíveis apenas à gestão, com contagem para revisão.</w:t>
            </w:r>
          </w:p>
        </w:tc>
        <w:tc>
          <w:tcPr>
            <w:tcW w:type="dxa" w:w="13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32</w:t>
            </w:r>
          </w:p>
        </w:tc>
        <w:tc>
          <w:tcPr>
            <w:tcW w:type="dxa" w:w="7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8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RF-37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Emitir os 5 relatórios operacionais e os 4 dashboards executivos especificados na seção 4.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85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RF-38</w:t>
            </w:r>
          </w:p>
        </w:tc>
        <w:tc>
          <w:tcPr>
            <w:tcW w:type="dxa" w:w="56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Estruturar todas as entidades com identificador de núcleo, com um núcleo ativo no MVP.</w:t>
            </w:r>
          </w:p>
        </w:tc>
        <w:tc>
          <w:tcPr>
            <w:tcW w:type="dxa" w:w="13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34</w:t>
            </w:r>
          </w:p>
        </w:tc>
        <w:tc>
          <w:tcPr>
            <w:tcW w:type="dxa" w:w="7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E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4. Relatórios e Dashboards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Relatórios operacionais (com filtros de período, membro, tipo e status): Presença de membros; Indicações e conversão; Negócios fechados; Despesas e receitas; Situação de mensalidades. Dashboards executivos: Negócios fechados (valor total, evolução, ranking de indicadores, ticket médio, conversão); Despesas e receitas do grupo; Indicações (volume, membros ativos, mapa entre segmentos, funil completo); Engajamento — visão do Gestor (presença média, alertas de faltas, convidados, reuniões 1 a 1). Toda a camada é somente-leitura e respeita o sigilo de valores da RN-26.</w:t>
      </w: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5. Requisitos Não Funcionais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1100"/>
        <w:gridCol w:w="1900"/>
        <w:gridCol w:w="6026"/>
      </w:tblGrid>
      <w:tr>
        <w:trPr>
          <w:tblHeader/>
        </w:trPr>
        <w:tc>
          <w:tcPr>
            <w:tcW w:type="dxa" w:w="1100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900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6026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RNF-01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Usabilidade</w:t>
            </w:r>
          </w:p>
        </w:tc>
        <w:tc>
          <w:tcPr>
            <w:tcW w:type="dxa" w:w="60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Interface responsiva com fluxos críticos (presença, indicação) executáveis em até 3 toques no celular durante a reunião.</w:t>
            </w:r>
          </w:p>
        </w:tc>
      </w:tr>
      <w:tr>
        <w:tc>
          <w:tcPr>
            <w:tcW w:type="dxa" w:w="11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RNF-02</w:t>
            </w:r>
          </w:p>
        </w:tc>
        <w:tc>
          <w:tcPr>
            <w:tcW w:type="dxa" w:w="19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Segurança</w:t>
            </w:r>
          </w:p>
        </w:tc>
        <w:tc>
          <w:tcPr>
            <w:tcW w:type="dxa" w:w="6026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Autenticação individual, controle de acesso por perfil aplicado no banco de dados (row-level security) e senhas com hash forte.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RNF-03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Privacidade (LGPD)</w:t>
            </w:r>
          </w:p>
        </w:tc>
        <w:tc>
          <w:tcPr>
            <w:tcW w:type="dxa" w:w="60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Base legal registrada para dados de membros e convidados; direito de exclusão compatível com a anonimização (histórico agregado preservado, dados pessoais removíveis).</w:t>
            </w:r>
          </w:p>
        </w:tc>
      </w:tr>
      <w:tr>
        <w:tc>
          <w:tcPr>
            <w:tcW w:type="dxa" w:w="11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RNF-04</w:t>
            </w:r>
          </w:p>
        </w:tc>
        <w:tc>
          <w:tcPr>
            <w:tcW w:type="dxa" w:w="19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Auditabilidade</w:t>
            </w:r>
          </w:p>
        </w:tc>
        <w:tc>
          <w:tcPr>
            <w:tcW w:type="dxa" w:w="6026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Ações críticas 100% registradas em trilha imutável desde o primeiro dia (RF-35).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RNF-05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Disponibilidade</w:t>
            </w:r>
          </w:p>
        </w:tc>
        <w:tc>
          <w:tcPr>
            <w:tcW w:type="dxa" w:w="60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Backup automático diário; recuperação de dados em até 24h.</w:t>
            </w:r>
          </w:p>
        </w:tc>
      </w:tr>
      <w:tr>
        <w:tc>
          <w:tcPr>
            <w:tcW w:type="dxa" w:w="11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RNF-06</w:t>
            </w:r>
          </w:p>
        </w:tc>
        <w:tc>
          <w:tcPr>
            <w:tcW w:type="dxa" w:w="19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Identidade</w:t>
            </w:r>
          </w:p>
        </w:tc>
        <w:tc>
          <w:tcPr>
            <w:tcW w:type="dxa" w:w="6026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Paleta marrom #855023, dourado #CAAA67 e tons creme; logotipo institucional; Português do Brasil, Real (R$), fuso de Brasília.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RNF-07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Parametrização</w:t>
            </w:r>
          </w:p>
        </w:tc>
        <w:tc>
          <w:tcPr>
            <w:tcW w:type="dxa" w:w="60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Nenhuma regra de negócio fixada em código: valores, limites e políticas em telas de configuração do Gestor.</w:t>
            </w:r>
          </w:p>
        </w:tc>
      </w:tr>
      <w:tr>
        <w:tc>
          <w:tcPr>
            <w:tcW w:type="dxa" w:w="11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RNF-08</w:t>
            </w:r>
          </w:p>
        </w:tc>
        <w:tc>
          <w:tcPr>
            <w:tcW w:type="dxa" w:w="19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Escalabilidade</w:t>
            </w:r>
          </w:p>
        </w:tc>
        <w:tc>
          <w:tcPr>
            <w:tcW w:type="dxa" w:w="6026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Modelo multi-núcleo desde a origem; expansão nacional sem migração de dados.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6. Casos de Uso Principais (resumo)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2100"/>
        <w:gridCol w:w="1900"/>
        <w:gridCol w:w="5026"/>
      </w:tblGrid>
      <w:tr>
        <w:trPr>
          <w:tblHeader/>
        </w:trPr>
        <w:tc>
          <w:tcPr>
            <w:tcW w:type="dxa" w:w="2100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1900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Ator</w:t>
            </w:r>
          </w:p>
        </w:tc>
        <w:tc>
          <w:tcPr>
            <w:tcW w:type="dxa" w:w="5026"/>
            <w:shd w:fill="8550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8"/>
                <w:szCs w:val="18"/>
              </w:rPr>
              <w:t xml:space="preserve">Fluxo essencial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Aprovar novo membro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Gestor</w:t>
            </w:r>
          </w:p>
        </w:tc>
        <w:tc>
          <w:tcPr>
            <w:tcW w:type="dxa" w:w="50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Consulta fila de pendentes → verifica CIM/Loja/Potência → aprova ou recusa com motivo → sistema audita e libera acesso.</w:t>
            </w:r>
          </w:p>
        </w:tc>
      </w:tr>
      <w:tr>
        <w:tc>
          <w:tcPr>
            <w:tcW w:type="dxa" w:w="21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Operar reunião ao vivo</w:t>
            </w:r>
          </w:p>
        </w:tc>
        <w:tc>
          <w:tcPr>
            <w:tcW w:type="dxa" w:w="19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Administrativo</w:t>
            </w:r>
          </w:p>
        </w:tc>
        <w:tc>
          <w:tcPr>
            <w:tcW w:type="dxa" w:w="5026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Abre a reunião do dia → marca presenças e representações → registra convidados presentes → lança indicações da Rodada de Negócios.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Registrar indicação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Qualquer membro</w:t>
            </w:r>
          </w:p>
        </w:tc>
        <w:tc>
          <w:tcPr>
            <w:tcW w:type="dxa" w:w="50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Seleciona destinatário → descreve a oportunidade → confirma; indicador gravado de forma imutável; SLA de contato inicia.</w:t>
            </w:r>
          </w:p>
        </w:tc>
      </w:tr>
      <w:tr>
        <w:tc>
          <w:tcPr>
            <w:tcW w:type="dxa" w:w="21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Confirmar fechamento</w:t>
            </w:r>
          </w:p>
        </w:tc>
        <w:tc>
          <w:tcPr>
            <w:tcW w:type="dxa" w:w="1900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Membro que recebeu (rec.)</w:t>
            </w:r>
          </w:p>
        </w:tc>
        <w:tc>
          <w:tcPr>
            <w:tcW w:type="dxa" w:w="5026"/>
            <w:shd w:fill="F5EF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Acessa o negócio em andamento → informa trabalho realizado e valor → OK formal; indicador notificado; pauta de reconhecimento alimentada.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Fechar caixa do mês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Administrativo/Gestor</w:t>
            </w:r>
          </w:p>
        </w:tc>
        <w:tc>
          <w:tcPr>
            <w:tcW w:type="dxa" w:w="502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Verdana" w:cs="Verdana" w:eastAsia="Verdana" w:hAnsi="Verdana"/>
                <w:color w:val="3A3A3A"/>
                <w:sz w:val="18"/>
                <w:szCs w:val="18"/>
              </w:rPr>
              <w:t xml:space="preserve">Concilia mensalidades pagas (lançamentos automáticos) → lança despesas da competência → emite extrato e relatório de situação.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7. Critérios de Aceitação do MVP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Todos os requisitos de prioridade E implementados e testados com dados reais do grupo.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Uma reunião completa operada de ponta a ponta no sistema (presenças, convidados e indicações ao vivo) sem recorrer a planilhas.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Um ciclo financeiro mensal fechado: mensalidades geradas, pagamentos registrados, extrato emitido e conferido pela gestão.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Um negócio percorrendo o ciclo completo — indicação, andamento, fechamento com OK — refletido nos dashboards.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As 4 decisões pendentes ratificadas e parametrizadas nas telas de configuração.</w:t>
      </w: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8. Rastreabilidade e Governança da Especificação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A rastreabilidade requisito × regra está embutida na coluna RN das tabelas da seção 3 — qualquer alteração de regra identifica imediatamente os requisitos impactados. Alterações nesta SRS após a aprovação seguem controle de versão com registro de mudança, autor e impacto, mantendo a coerência entre os artefatos do projeto (Pilar 6 aplicado à própria engenharia: autoridade pela coerência).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AAA67" w:sz="6"/>
      </w:pBdr>
      <w:spacing w:before="80"/>
      <w:jc w:val="center"/>
    </w:pPr>
    <w:r>
      <w:rPr>
        <w:rFonts w:ascii="Verdana" w:cs="Verdana" w:eastAsia="Verdana" w:hAnsi="Verdana"/>
        <w:color w:val="855023"/>
        <w:sz w:val="16"/>
        <w:szCs w:val="16"/>
      </w:rPr>
      <w:t xml:space="preserve">SRS — Especificação Funcional — Confidencial | FONS Consultoria  •  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AA67" w:sz="6"/>
      </w:pBdr>
      <w:spacing w:after="120"/>
      <w:jc w:val="right"/>
    </w:pPr>
    <w:r>
      <w:rPr>
        <w:rFonts w:ascii="Trebuchet MS" w:cs="Trebuchet MS" w:eastAsia="Trebuchet MS" w:hAnsi="Trebuchet MS"/>
        <w:b/>
        <w:bCs/>
        <w:color w:val="855023"/>
        <w:sz w:val="18"/>
        <w:szCs w:val="18"/>
      </w:rPr>
      <w:t xml:space="preserve">MASON CONNECT  </w:t>
    </w:r>
    <w:r>
      <w:drawing>
        <wp:inline distT="0" distB="0" distL="0" distR="0">
          <wp:extent cx="323850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color w:val="3A3A3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b18b06a02f82ecfdd8b1f1ef44f661bf75bd96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b18b06a02f82ecfdd8b1f1ef44f661bf75bd968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2026-07-04T00:51:55.039Z</dcterms:created>
  <dcterms:modified xsi:type="dcterms:W3CDTF">2026-07-04T00:51:55.039Z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