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20"/>
        <w:jc w:val="center"/>
      </w:pPr>
      <w:r>
        <w:drawing>
          <wp:inline distT="0" distB="0" distL="0" distR="0">
            <wp:extent cx="16192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855023"/>
          <w:sz w:val="56"/>
          <w:szCs w:val="56"/>
        </w:rPr>
        <w:t xml:space="preserve">MASON CONNECT</w:t>
      </w:r>
    </w:p>
    <w:p>
      <w:pPr>
        <w:spacing w:after="340"/>
        <w:jc w:val="center"/>
      </w:pPr>
      <w:r>
        <w:rPr>
          <w:rFonts w:ascii="Trebuchet MS" w:cs="Trebuchet MS" w:eastAsia="Trebuchet MS" w:hAnsi="Trebuchet MS"/>
          <w:color w:val="CAAA67"/>
          <w:sz w:val="24"/>
          <w:szCs w:val="24"/>
        </w:rPr>
        <w:t xml:space="preserve">Projeto de Engenharia de Software — Bloco C: Experiência</w:t>
      </w:r>
    </w:p>
    <w:p>
      <w:pPr>
        <w:spacing w:after="80"/>
        <w:jc w:val="center"/>
      </w:pPr>
      <w:r>
        <w:rPr>
          <w:rFonts w:ascii="Verdana" w:cs="Verdana" w:eastAsia="Verdana" w:hAnsi="Verdana"/>
          <w:b/>
          <w:bCs/>
          <w:color w:val="6B4A2B"/>
          <w:sz w:val="20"/>
          <w:szCs w:val="20"/>
        </w:rPr>
        <w:t xml:space="preserve">DOCUMENTO 07 / BLOCO C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b/>
          <w:bCs/>
          <w:color w:val="3A3A3A"/>
          <w:sz w:val="34"/>
          <w:szCs w:val="34"/>
        </w:rPr>
        <w:t xml:space="preserve">Design System</w:t>
      </w:r>
    </w:p>
    <w:p>
      <w:pPr>
        <w:spacing w:after="800"/>
        <w:jc w:val="center"/>
      </w:pPr>
      <w:r>
        <w:rPr>
          <w:rFonts w:ascii="Verdana" w:cs="Verdana" w:eastAsia="Verdana" w:hAnsi="Verdana"/>
          <w:i/>
          <w:iCs/>
          <w:color w:val="3A3A3A"/>
          <w:sz w:val="19"/>
          <w:szCs w:val="19"/>
        </w:rPr>
        <w:t xml:space="preserve">Fundamentos visuais, tokens, componentes e tom de voz da interface</w:t>
      </w:r>
    </w:p>
    <w:p>
      <w:pPr>
        <w:spacing w:after="60"/>
        <w:jc w:val="center"/>
      </w:pPr>
      <w:r>
        <w:rPr>
          <w:rFonts w:ascii="Verdana" w:cs="Verdana" w:eastAsia="Verdana" w:hAnsi="Verdana"/>
          <w:color w:val="3A3A3A"/>
          <w:sz w:val="19"/>
          <w:szCs w:val="19"/>
        </w:rPr>
        <w:t xml:space="preserve">Versão 1.0  •  Julho de 2026  •  Elaboração: FONS Consultoria</w:t>
      </w:r>
    </w:p>
    <w:p>
      <w:pPr>
        <w:jc w:val="center"/>
      </w:pPr>
      <w:r>
        <w:rPr>
          <w:rFonts w:ascii="Verdana" w:cs="Verdana" w:eastAsia="Verdana" w:hAnsi="Verdana"/>
          <w:b/>
          <w:bCs/>
          <w:color w:val="855023"/>
          <w:sz w:val="17"/>
          <w:szCs w:val="17"/>
        </w:rPr>
        <w:t xml:space="preserve">DOCUMENTO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1. Fundamentos — Design a Serviço dos Pilares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 interface do Mason Connect não é neutra: ela comunica os mesmos atributos que a Presença Estratégica (Pilar 1) exige de um Empresário Conector — estabilidade, credibilidade, autoridade e segurança. Três princípios governam todas as decisões visuais: Sobriedade institucional (a estética de um clube de negócios centenário, não de uma startup — nada pisca, nada grita); Discrição estrutural (Pilar 7: dados sensíveis nunca em destaque gratuito; valores individuais aparecem apenas a quem tem direito, e com contenção tipográfica); Clareza acionável (Pilar 5 aplicado à interface: cada tela responde em segundos 'o que está acontecendo e o que devo fazer' — especialmente no celular, ao vivo, durante a reunião).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2. Cores — Tokens Oficiais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700"/>
        <w:gridCol w:w="1400"/>
        <w:gridCol w:w="4926"/>
      </w:tblGrid>
      <w:tr>
        <w:trPr>
          <w:tblHeader/>
        </w:trPr>
        <w:tc>
          <w:tcPr>
            <w:tcW w:type="dxa" w:w="27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4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49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brand/marrom (primária)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#855023</w:t>
            </w:r>
          </w:p>
        </w:tc>
        <w:tc>
          <w:tcPr>
            <w:tcW w:type="dxa" w:w="49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Identidade dominante: barras de navegação, cabeçalhos, botões primários, títulos</w:t>
            </w:r>
          </w:p>
        </w:tc>
      </w:tr>
      <w:tr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brand/marrom-profundo</w:t>
            </w:r>
          </w:p>
        </w:tc>
        <w:tc>
          <w:tcPr>
            <w:tcW w:type="dxa" w:w="1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#4F2E12</w:t>
            </w:r>
          </w:p>
        </w:tc>
        <w:tc>
          <w:tcPr>
            <w:tcW w:type="dxa" w:w="49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Fundos de telas institucionais (login, encerramentos), rodapé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brand/dourado (acento)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#CAAA67</w:t>
            </w:r>
          </w:p>
        </w:tc>
        <w:tc>
          <w:tcPr>
            <w:tcW w:type="dxa" w:w="49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Realce nobre: ícones ativos, bordas de destaque, indicadores de seleção — nunca em grandes áreas</w:t>
            </w:r>
          </w:p>
        </w:tc>
      </w:tr>
      <w:tr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brand/creme</w:t>
            </w:r>
          </w:p>
        </w:tc>
        <w:tc>
          <w:tcPr>
            <w:tcW w:type="dxa" w:w="1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#F5EFE3</w:t>
            </w:r>
          </w:p>
        </w:tc>
        <w:tc>
          <w:tcPr>
            <w:tcW w:type="dxa" w:w="49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Fundos de cartões e superfícies secundárias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neutro/fundo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#FBF9F4</w:t>
            </w:r>
          </w:p>
        </w:tc>
        <w:tc>
          <w:tcPr>
            <w:tcW w:type="dxa" w:w="49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Fundo geral da aplicação (quente, não branco puro)</w:t>
            </w:r>
          </w:p>
        </w:tc>
      </w:tr>
      <w:tr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neutro/texto</w:t>
            </w:r>
          </w:p>
        </w:tc>
        <w:tc>
          <w:tcPr>
            <w:tcW w:type="dxa" w:w="1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#3A3A3A</w:t>
            </w:r>
          </w:p>
        </w:tc>
        <w:tc>
          <w:tcPr>
            <w:tcW w:type="dxa" w:w="49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Texto padrão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neutro/texto-suave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#8A7A63</w:t>
            </w:r>
          </w:p>
        </w:tc>
        <w:tc>
          <w:tcPr>
            <w:tcW w:type="dxa" w:w="49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Legendas, metadados, estados vazios</w:t>
            </w:r>
          </w:p>
        </w:tc>
      </w:tr>
      <w:tr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semântica/êxito</w:t>
            </w:r>
          </w:p>
        </w:tc>
        <w:tc>
          <w:tcPr>
            <w:tcW w:type="dxa" w:w="1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#4E7A3A</w:t>
            </w:r>
          </w:p>
        </w:tc>
        <w:tc>
          <w:tcPr>
            <w:tcW w:type="dxa" w:w="49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Presença confirmada, pagamento efetuado, negócio fechado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semântica/alerta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#B07A1F</w:t>
            </w:r>
          </w:p>
        </w:tc>
        <w:tc>
          <w:tcPr>
            <w:tcW w:type="dxa" w:w="49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SLA vencendo, 2ª falta consecutiva, competência em aberto</w:t>
            </w:r>
          </w:p>
        </w:tc>
      </w:tr>
      <w:tr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semântica/crítico</w:t>
            </w:r>
          </w:p>
        </w:tc>
        <w:tc>
          <w:tcPr>
            <w:tcW w:type="dxa" w:w="1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#9E3B22</w:t>
            </w:r>
          </w:p>
        </w:tc>
        <w:tc>
          <w:tcPr>
            <w:tcW w:type="dxa" w:w="49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3ª falta consecutiva, indicação sem retorno, estorno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Regra de dominância: o marrom carrega 60–70% do peso visual; o creme sustenta as superfícies; o dourado é acento cirúrgico (menos de 10% da tela). As cores semânticas seguem a temperatura da marca — o verde é oliva, o vermelho é terracota — para que até o alerta pareça institucional, nunca alarmista (Pilar 10: controle emocional também na interface).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3. Tipografia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26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4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Aplicação e escala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Display institucional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Georgia (serifada)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Títulos de tela e números de valor (R$): 28–40px, peso bold. A serifa carrega a gravitas do grupo.</w:t>
            </w:r>
          </w:p>
        </w:tc>
      </w:tr>
      <w:tr>
        <w:tc>
          <w:tcPr>
            <w:tcW w:type="dxa" w:w="23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Corpo e interface</w:t>
            </w:r>
          </w:p>
        </w:tc>
        <w:tc>
          <w:tcPr>
            <w:tcW w:type="dxa" w:w="26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Sistema (Segoe UI / -apple-system)</w:t>
            </w:r>
          </w:p>
        </w:tc>
        <w:tc>
          <w:tcPr>
            <w:tcW w:type="dxa" w:w="4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Texto corrente, formulários, tabelas: 14–16px; line-height 1,5.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Utilitária / dados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Sistema, caixa alta, espaçada</w:t>
            </w:r>
          </w:p>
        </w:tc>
        <w:tc>
          <w:tcPr>
            <w:tcW w:type="dxa" w:w="4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Rótulos, badges e metadados: 11–12px, letter-spacing 0,06em, cor texto-suave.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Nos documentos institucionais permanecem Trebuchet MS e Verdana (padrão já consolidado); na interface web, a Georgia assume o papel de display por disponibilidade universal sem carregamento externo, com fallback serif. Números financeiros usam tabular alignment para colunas de extrato.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4. Grade, Espaçamento e Superfícies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Base de 8px: espaçamentos em múltiplos (8, 16, 24, 32); toques mínimos de 44×44px para uso ao vivo na reunião.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Cartões: fundo creme ou branco, raio 12px, sombra suave (0 1px 3px, 12% de opacidade) — profundidade discreta, sem vidro nem neon.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 régua dourada de 2px é o divisor nobre: usada sob cabeçalhos de seção e no item ativo da navegação — é a assinatura visual herdada dos documentos.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Mobile-first: navegação inferior no celular, lateral no desktop; a tela de presença ao vivo opera com uma mão.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5. Componentes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66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Especificação e estados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Botão primário</w:t>
            </w:r>
          </w:p>
        </w:tc>
        <w:tc>
          <w:tcPr>
            <w:tcW w:type="dxa" w:w="66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Fundo marrom, texto branco, raio 10px, altura 44px. Hover: marrom-profundo. Desabilitado: 40% opacidade. Rótulo = ação exata ('Confirmar fechamento', nunca 'Enviar').</w:t>
            </w:r>
          </w:p>
        </w:tc>
      </w:tr>
      <w:tr>
        <w:tc>
          <w:tcPr>
            <w:tcW w:type="dxa" w:w="2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Botão secundário</w:t>
            </w:r>
          </w:p>
        </w:tc>
        <w:tc>
          <w:tcPr>
            <w:tcW w:type="dxa" w:w="66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Borda 1,5px dourada, texto marrom, fundo transparente. Para ações reversíveis.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Chip de presença</w:t>
            </w:r>
          </w:p>
        </w:tc>
        <w:tc>
          <w:tcPr>
            <w:tcW w:type="dxa" w:w="66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 componente-assinatura: pílula de um toque com 4 estados — Presente (êxito), Falta (crítico), Justificada (alerta), Representado (dourado). Alterna em ciclo a cada toque.</w:t>
            </w:r>
          </w:p>
        </w:tc>
      </w:tr>
      <w:tr>
        <w:tc>
          <w:tcPr>
            <w:tcW w:type="dxa" w:w="2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Badge de status</w:t>
            </w:r>
          </w:p>
        </w:tc>
        <w:tc>
          <w:tcPr>
            <w:tcW w:type="dxa" w:w="66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Pílula 12px caixa alta: pendente (creme/borda), ativo (êxito suave), em atraso (alerta suave), fechado (marrom). Sempre com texto, nunca só cor.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Cartão de indicação</w:t>
            </w:r>
          </w:p>
        </w:tc>
        <w:tc>
          <w:tcPr>
            <w:tcW w:type="dxa" w:w="66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Cabeçalho com indicador (imutável, com selo ⚿), destino, descrição truncada em 2 linhas, badge de estágio e cronômetro de SLA quando aplicável.</w:t>
            </w:r>
          </w:p>
        </w:tc>
      </w:tr>
      <w:tr>
        <w:tc>
          <w:tcPr>
            <w:tcW w:type="dxa" w:w="2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Tabela / extrato</w:t>
            </w:r>
          </w:p>
        </w:tc>
        <w:tc>
          <w:tcPr>
            <w:tcW w:type="dxa" w:w="66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Zebra creme, números tabulares à direita, totais em Georgia bold. Linhas de despesa com valor precedido de sinal, nunca em vermelho puro.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Formulário</w:t>
            </w:r>
          </w:p>
        </w:tc>
        <w:tc>
          <w:tcPr>
            <w:tcW w:type="dxa" w:w="66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Rótulo acima do campo, borda 1px neutra, foco com anel dourado 2px. Erro: mensagem específica sob o campo ('Informe o CIM do Irmão'), jamais genérica.</w:t>
            </w:r>
          </w:p>
        </w:tc>
      </w:tr>
      <w:tr>
        <w:tc>
          <w:tcPr>
            <w:tcW w:type="dxa" w:w="2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Modal de confirmação</w:t>
            </w:r>
          </w:p>
        </w:tc>
        <w:tc>
          <w:tcPr>
            <w:tcW w:type="dxa" w:w="66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Somente para atos definitivos (OK de fechamento, aprovação de membro): título em Georgia, resumo do efeito, botão primário com o verbo do ato.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Estado vazio</w:t>
            </w:r>
          </w:p>
        </w:tc>
        <w:tc>
          <w:tcPr>
            <w:tcW w:type="dxa" w:w="66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Ilustração tipográfica discreta + convite à ação ('Nenhuma indicação nesta semana. Registre a primeira da Rodada de Negócios.').</w:t>
            </w:r>
          </w:p>
        </w:tc>
      </w:tr>
      <w:tr>
        <w:tc>
          <w:tcPr>
            <w:tcW w:type="dxa" w:w="24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Toast</w:t>
            </w:r>
          </w:p>
        </w:tc>
        <w:tc>
          <w:tcPr>
            <w:tcW w:type="dxa" w:w="66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Confirmação curta no verbo do ato: 'Fechamento confirmado. O indicador foi notificado.' — 4s, canto inferior.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6. Tom de Voz da Interface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Fraterno sem informalidade: 'Irmão' aparece no acolhimento (saudação, onboarding), não em cada rótulo.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Verbos ativos e exatos: o botão diz o que acontece; a confirmação repete o mesmo verbo (Publicar → Publicado).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Erros orientam, não se desculpam: 'O CNPJ informado já pertence à empresa X. Verifique o número.'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Discrição verbal: notificações públicas nunca citam valores ('Um negócio foi fechado a partir da sua indicação' — o valor fica na tela privada).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7. Acessibilidade e Qualidade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Contraste mínimo AA: texto marrom sobre creme e branco verificado; dourado nunca é usado para texto pequeno.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Foco visível (anel dourado) em toda navegação por teclado; ordem de tabulação segue a leitura.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Movimento reduzido respeitado (prefers-reduced-motion): transições viram cortes.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Status sempre com texto ou ícone além da cor — daltonismo não pode esconder uma falta ou um atraso.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8. Governança do Design System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Este documento é a fonte de verdade visual do projeto. O protótipo navegável (Documento 08) o implementa integralmente; o Prompt Mestre (Bloco D) o transportará como tokens de código. Alterações seguem versionamento com registro de mudança — a coerência visual é a Autoridade Natural (Pilar 6) aplicada ao produto: a interface cumpre as promessas que faz, tela após tela.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AA67" w:sz="6"/>
      </w:pBdr>
      <w:spacing w:before="80"/>
      <w:jc w:val="center"/>
    </w:pPr>
    <w:r>
      <w:rPr>
        <w:rFonts w:ascii="Verdana" w:cs="Verdana" w:eastAsia="Verdana" w:hAnsi="Verdana"/>
        <w:color w:val="855023"/>
        <w:sz w:val="16"/>
        <w:szCs w:val="16"/>
      </w:rPr>
      <w:t xml:space="preserve">Design System — Confidencial | FONS Consultoria  •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A67" w:sz="6"/>
      </w:pBdr>
      <w:spacing w:after="120"/>
      <w:jc w:val="right"/>
    </w:pPr>
    <w:r>
      <w:rPr>
        <w:rFonts w:ascii="Trebuchet MS" w:cs="Trebuchet MS" w:eastAsia="Trebuchet MS" w:hAnsi="Trebuchet MS"/>
        <w:b/>
        <w:bCs/>
        <w:color w:val="855023"/>
        <w:sz w:val="18"/>
        <w:szCs w:val="18"/>
      </w:rPr>
      <w:t xml:space="preserve">MASON CONNECT  </w:t>
    </w: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18b06a02f82ecfdd8b1f1ef44f661bf75bd96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18b06a02f82ecfdd8b1f1ef44f661bf75bd96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2026-07-04T01:05:17.584Z</dcterms:created>
  <dcterms:modified xsi:type="dcterms:W3CDTF">2026-07-04T01:05:17.597Z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