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420"/>
        <w:jc w:val="center"/>
      </w:pPr>
      <w:r>
        <w:drawing>
          <wp:inline distT="0" distB="0" distL="0" distR="0">
            <wp:extent cx="1619250" cy="1438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rebuchet MS" w:cs="Trebuchet MS" w:eastAsia="Trebuchet MS" w:hAnsi="Trebuchet MS"/>
          <w:b/>
          <w:bCs/>
          <w:color w:val="855023"/>
          <w:sz w:val="56"/>
          <w:szCs w:val="56"/>
        </w:rPr>
        <w:t xml:space="preserve">MASON CONNECT</w:t>
      </w:r>
    </w:p>
    <w:p>
      <w:pPr>
        <w:spacing w:after="340"/>
        <w:jc w:val="center"/>
      </w:pPr>
      <w:r>
        <w:rPr>
          <w:rFonts w:ascii="Trebuchet MS" w:cs="Trebuchet MS" w:eastAsia="Trebuchet MS" w:hAnsi="Trebuchet MS"/>
          <w:color w:val="CAAA67"/>
          <w:sz w:val="24"/>
          <w:szCs w:val="24"/>
        </w:rPr>
        <w:t xml:space="preserve">Projeto de Engenharia de Software — Bloco D: Execução</w:t>
      </w:r>
    </w:p>
    <w:p>
      <w:pPr>
        <w:spacing w:after="80"/>
        <w:jc w:val="center"/>
      </w:pPr>
      <w:r>
        <w:rPr>
          <w:rFonts w:ascii="Verdana" w:cs="Verdana" w:eastAsia="Verdana" w:hAnsi="Verdana"/>
          <w:b/>
          <w:bCs/>
          <w:color w:val="6B4A2B"/>
          <w:sz w:val="20"/>
          <w:szCs w:val="20"/>
        </w:rPr>
        <w:t xml:space="preserve">DOCUMENTO 09 / BLOCO D</w:t>
      </w:r>
    </w:p>
    <w:p>
      <w:pPr>
        <w:spacing w:after="120"/>
        <w:jc w:val="center"/>
      </w:pPr>
      <w:r>
        <w:rPr>
          <w:rFonts w:ascii="Trebuchet MS" w:cs="Trebuchet MS" w:eastAsia="Trebuchet MS" w:hAnsi="Trebuchet MS"/>
          <w:b/>
          <w:bCs/>
          <w:color w:val="3A3A3A"/>
          <w:sz w:val="34"/>
          <w:szCs w:val="34"/>
        </w:rPr>
        <w:t xml:space="preserve">Documentação da API</w:t>
      </w:r>
    </w:p>
    <w:p>
      <w:pPr>
        <w:spacing w:after="800"/>
        <w:jc w:val="center"/>
      </w:pPr>
      <w:r>
        <w:rPr>
          <w:rFonts w:ascii="Verdana" w:cs="Verdana" w:eastAsia="Verdana" w:hAnsi="Verdana"/>
          <w:i/>
          <w:iCs/>
          <w:color w:val="3A3A3A"/>
          <w:sz w:val="19"/>
          <w:szCs w:val="19"/>
        </w:rPr>
        <w:t xml:space="preserve">Contratos REST, políticas de acesso, funções de negócio e integrações</w:t>
      </w:r>
    </w:p>
    <w:p>
      <w:pPr>
        <w:spacing w:after="60"/>
        <w:jc w:val="center"/>
      </w:pPr>
      <w:r>
        <w:rPr>
          <w:rFonts w:ascii="Verdana" w:cs="Verdana" w:eastAsia="Verdana" w:hAnsi="Verdana"/>
          <w:color w:val="3A3A3A"/>
          <w:sz w:val="19"/>
          <w:szCs w:val="19"/>
        </w:rPr>
        <w:t xml:space="preserve">Versão 1.0  •  Julho de 2026  •  Elaboração: FONS Consultoria</w:t>
      </w:r>
    </w:p>
    <w:p>
      <w:pPr>
        <w:jc w:val="center"/>
      </w:pPr>
      <w:r>
        <w:rPr>
          <w:rFonts w:ascii="Verdana" w:cs="Verdana" w:eastAsia="Verdana" w:hAnsi="Verdana"/>
          <w:b/>
          <w:bCs/>
          <w:color w:val="855023"/>
          <w:sz w:val="17"/>
          <w:szCs w:val="17"/>
        </w:rPr>
        <w:t xml:space="preserve">DOCUMENTO CONFIDENCIAL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40"/>
      </w:pPr>
      <w:r>
        <w:rPr>
          <w:rFonts w:ascii="Trebuchet MS" w:cs="Trebuchet MS" w:eastAsia="Trebuchet MS" w:hAnsi="Trebuchet MS"/>
          <w:b/>
          <w:bCs/>
          <w:color w:val="855023"/>
          <w:sz w:val="30"/>
          <w:szCs w:val="30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CAAA67" w:sz="12"/>
        </w:pBdr>
        <w:spacing w:after="200" w:before="360"/>
      </w:pPr>
      <w:r>
        <w:rPr>
          <w:rFonts w:ascii="Trebuchet MS" w:cs="Trebuchet MS" w:eastAsia="Trebuchet MS" w:hAnsi="Trebuchet MS"/>
          <w:b/>
          <w:bCs/>
          <w:color w:val="855023"/>
          <w:sz w:val="30"/>
          <w:szCs w:val="30"/>
        </w:rPr>
        <w:t xml:space="preserve">1. Visão Geral da API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color w:val="3A3A3A"/>
          <w:sz w:val="20"/>
          <w:szCs w:val="20"/>
        </w:rPr>
        <w:t xml:space="preserve">A API do Mason Connect é exposta pelo Supabase em padrão REST (PostgREST), gerada a partir do modelo de dados do Documento 05 e protegida integralmente por Row-Level Security. Isso significa que a autorização não vive na API: vive no banco. Qualquer cliente (o front React do MVP, um app nativo futuro, uma automação) recebe exatamente os mesmos limites — o perfil Empresário jamais lê o valor individual de um negócio alheio, por qualquer caminho (RN-26).</w:t>
      </w:r>
    </w:p>
    <w:p>
      <w:pPr>
        <w:pStyle w:val="Heading2"/>
        <w:spacing w:after="140" w:before="280"/>
      </w:pPr>
      <w:r>
        <w:rPr>
          <w:rFonts w:ascii="Trebuchet MS" w:cs="Trebuchet MS" w:eastAsia="Trebuchet MS" w:hAnsi="Trebuchet MS"/>
          <w:b/>
          <w:bCs/>
          <w:color w:val="855023"/>
          <w:sz w:val="24"/>
          <w:szCs w:val="24"/>
        </w:rPr>
        <w:t xml:space="preserve">1.1 Ambientes e convenções</w:t>
      </w:r>
    </w:p>
    <w:tbl>
      <w:tblPr>
        <w:tblW w:type="dxa" w:w="9026"/>
        <w:tblBorders>
          <w:top w:val="single" w:color="CAAA67" w:sz="4"/>
          <w:left w:val="single" w:color="CAAA67" w:sz="4"/>
          <w:bottom w:val="single" w:color="CAAA67" w:sz="4"/>
          <w:right w:val="single" w:color="CAAA67" w:sz="4"/>
          <w:insideH w:val="single" w:color="CAAA67" w:sz="2"/>
          <w:insideV w:val="single" w:color="CAAA67" w:sz="2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6826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Convenção</w:t>
            </w:r>
          </w:p>
        </w:tc>
      </w:tr>
      <w:tr>
        <w:tc>
          <w:tcPr>
            <w:tcW w:type="dxa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URL base</w:t>
            </w:r>
          </w:p>
        </w:tc>
        <w:tc>
          <w:tcPr>
            <w:tcW w:type="dxa" w:w="68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https://&lt;projeto&gt;.supabase.co/rest/v1/  (produção e homologação em projetos separados)</w:t>
            </w:r>
          </w:p>
        </w:tc>
      </w:tr>
      <w:tr>
        <w:tc>
          <w:tcPr>
            <w:tcW w:type="dxa" w:w="22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Autenticação</w:t>
            </w:r>
          </w:p>
        </w:tc>
        <w:tc>
          <w:tcPr>
            <w:tcW w:type="dxa" w:w="6826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JWT do Supabase Auth no header Authorization: Bearer &lt;token&gt;; apikey pública no header apikey</w:t>
            </w:r>
          </w:p>
        </w:tc>
      </w:tr>
      <w:tr>
        <w:tc>
          <w:tcPr>
            <w:tcW w:type="dxa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Perfil e núcleo</w:t>
            </w:r>
          </w:p>
        </w:tc>
        <w:tc>
          <w:tcPr>
            <w:tcW w:type="dxa" w:w="68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Claims do token: categoria (gestor/administrativo/empresario) e nucleo_id — base de todas as políticas RLS</w:t>
            </w:r>
          </w:p>
        </w:tc>
      </w:tr>
      <w:tr>
        <w:tc>
          <w:tcPr>
            <w:tcW w:type="dxa" w:w="22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Formato</w:t>
            </w:r>
          </w:p>
        </w:tc>
        <w:tc>
          <w:tcPr>
            <w:tcW w:type="dxa" w:w="6826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JSON; datas ISO-8601 com fuso -03:00; monetários em decimal (string)</w:t>
            </w:r>
          </w:p>
        </w:tc>
      </w:tr>
      <w:tr>
        <w:tc>
          <w:tcPr>
            <w:tcW w:type="dxa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Filtros e paginação</w:t>
            </w:r>
          </w:p>
        </w:tc>
        <w:tc>
          <w:tcPr>
            <w:tcW w:type="dxa" w:w="68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Sintaxe PostgREST: ?status=eq.ativo&amp;order=nome.asc&amp;limit=25&amp;offset=0</w:t>
            </w:r>
          </w:p>
        </w:tc>
      </w:tr>
      <w:tr>
        <w:tc>
          <w:tcPr>
            <w:tcW w:type="dxa" w:w="22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Erros</w:t>
            </w:r>
          </w:p>
        </w:tc>
        <w:tc>
          <w:tcPr>
            <w:tcW w:type="dxa" w:w="6826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HTTP semântico: 401 sem sessão; 403 política RLS negou; 409 violação de unicidade (ex.: cadeira ocupada, RN-14); 422 payload inválido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CAAA67" w:sz="12"/>
        </w:pBdr>
        <w:spacing w:after="200" w:before="360"/>
      </w:pPr>
      <w:r>
        <w:rPr>
          <w:rFonts w:ascii="Trebuchet MS" w:cs="Trebuchet MS" w:eastAsia="Trebuchet MS" w:hAnsi="Trebuchet MS"/>
          <w:b/>
          <w:bCs/>
          <w:color w:val="855023"/>
          <w:sz w:val="30"/>
          <w:szCs w:val="30"/>
        </w:rPr>
        <w:t xml:space="preserve">2. Recursos por Módulo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color w:val="3A3A3A"/>
          <w:sz w:val="20"/>
          <w:szCs w:val="20"/>
        </w:rPr>
        <w:t xml:space="preserve">Métodos indicados por perfil: G = Gestor, A = Administrativo, E = Empresário. Onde o método não aparece, a política RLS nega — o front nem exibe a ação.</w:t>
      </w:r>
    </w:p>
    <w:p>
      <w:pPr>
        <w:pStyle w:val="Heading2"/>
        <w:spacing w:after="140" w:before="280"/>
      </w:pPr>
      <w:r>
        <w:rPr>
          <w:rFonts w:ascii="Trebuchet MS" w:cs="Trebuchet MS" w:eastAsia="Trebuchet MS" w:hAnsi="Trebuchet MS"/>
          <w:b/>
          <w:bCs/>
          <w:color w:val="855023"/>
          <w:sz w:val="24"/>
          <w:szCs w:val="24"/>
        </w:rPr>
        <w:t xml:space="preserve">2.1 Cadastros</w:t>
      </w:r>
    </w:p>
    <w:tbl>
      <w:tblPr>
        <w:tblW w:type="dxa" w:w="9026"/>
        <w:tblBorders>
          <w:top w:val="single" w:color="CAAA67" w:sz="4"/>
          <w:left w:val="single" w:color="CAAA67" w:sz="4"/>
          <w:bottom w:val="single" w:color="CAAA67" w:sz="4"/>
          <w:right w:val="single" w:color="CAAA67" w:sz="4"/>
          <w:insideH w:val="single" w:color="CAAA67" w:sz="2"/>
          <w:insideV w:val="single" w:color="CAAA67" w:sz="2"/>
        </w:tblBorders>
      </w:tblPr>
      <w:tblGrid>
        <w:gridCol w:w="1700"/>
        <w:gridCol w:w="2900"/>
        <w:gridCol w:w="4426"/>
      </w:tblGrid>
      <w:tr>
        <w:trPr>
          <w:tblHeader/>
        </w:trPr>
        <w:tc>
          <w:tcPr>
            <w:tcW w:type="dxa" w:w="1700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Recurso</w:t>
            </w:r>
          </w:p>
        </w:tc>
        <w:tc>
          <w:tcPr>
            <w:tcW w:type="dxa" w:w="2900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Métodos e acesso</w:t>
            </w:r>
          </w:p>
        </w:tc>
        <w:tc>
          <w:tcPr>
            <w:tcW w:type="dxa" w:w="4426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Observações de política</w:t>
            </w:r>
          </w:p>
        </w:tc>
      </w:tr>
      <w:tr>
        <w:tc>
          <w:tcPr>
            <w:tcW w:type="dxa" w:w="1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/membros</w:t>
            </w:r>
          </w:p>
        </w:tc>
        <w:tc>
          <w:tcPr>
            <w:tcW w:type="dxa" w:w="2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GET: G A E (diretório) · POST: G A · PATCH: G</w:t>
            </w:r>
          </w:p>
        </w:tc>
        <w:tc>
          <w:tcPr>
            <w:tcW w:type="dxa" w:w="44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INSERT nasce status=pendente; ativação (PATCH status) apenas G (RN-02); cim/loja/potencia NOT NULL (RN-01)</w:t>
            </w:r>
          </w:p>
        </w:tc>
      </w:tr>
      <w:tr>
        <w:tc>
          <w:tcPr>
            <w:tcW w:type="dxa" w:w="17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/empresas</w:t>
            </w:r>
          </w:p>
        </w:tc>
        <w:tc>
          <w:tcPr>
            <w:tcW w:type="dxa" w:w="29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GET: G A E · POST/PATCH: G A</w:t>
            </w:r>
          </w:p>
        </w:tc>
        <w:tc>
          <w:tcPr>
            <w:tcW w:type="dxa" w:w="4426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CNPJ único; vínculo obrigatório ao segmento</w:t>
            </w:r>
          </w:p>
        </w:tc>
      </w:tr>
      <w:tr>
        <w:tc>
          <w:tcPr>
            <w:tcW w:type="dxa" w:w="1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/segmentos</w:t>
            </w:r>
          </w:p>
        </w:tc>
        <w:tc>
          <w:tcPr>
            <w:tcW w:type="dxa" w:w="2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GET: G A E · POST/PATCH: G</w:t>
            </w:r>
          </w:p>
        </w:tc>
        <w:tc>
          <w:tcPr>
            <w:tcW w:type="dxa" w:w="44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membro_titular_id com índice único parcial — 409 se cadeira ocupada (RN-14)</w:t>
            </w:r>
          </w:p>
        </w:tc>
      </w:tr>
      <w:tr>
        <w:tc>
          <w:tcPr>
            <w:tcW w:type="dxa" w:w="17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/convidados</w:t>
            </w:r>
          </w:p>
        </w:tc>
        <w:tc>
          <w:tcPr>
            <w:tcW w:type="dxa" w:w="29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GET: G A · POST: G A E (anfitrião = self) · PATCH: G A</w:t>
            </w:r>
          </w:p>
        </w:tc>
        <w:tc>
          <w:tcPr>
            <w:tcW w:type="dxa" w:w="4426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reuniao_id e membro_anfitriao_id imutáveis (RN-04b)</w:t>
            </w:r>
          </w:p>
        </w:tc>
      </w:tr>
      <w:tr>
        <w:tc>
          <w:tcPr>
            <w:tcW w:type="dxa" w:w="1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/planos</w:t>
            </w:r>
          </w:p>
        </w:tc>
        <w:tc>
          <w:tcPr>
            <w:tcW w:type="dxa" w:w="2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GET: todos · POST/PATCH: G</w:t>
            </w:r>
          </w:p>
        </w:tc>
        <w:tc>
          <w:tcPr>
            <w:tcW w:type="dxa" w:w="44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Edição de valores sem código (RN-06/RNF-07)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rFonts w:ascii="Trebuchet MS" w:cs="Trebuchet MS" w:eastAsia="Trebuchet MS" w:hAnsi="Trebuchet MS"/>
          <w:b/>
          <w:bCs/>
          <w:color w:val="855023"/>
          <w:sz w:val="24"/>
          <w:szCs w:val="24"/>
        </w:rPr>
        <w:t xml:space="preserve">2.2 Reuniões e presença</w:t>
      </w:r>
    </w:p>
    <w:tbl>
      <w:tblPr>
        <w:tblW w:type="dxa" w:w="9026"/>
        <w:tblBorders>
          <w:top w:val="single" w:color="CAAA67" w:sz="4"/>
          <w:left w:val="single" w:color="CAAA67" w:sz="4"/>
          <w:bottom w:val="single" w:color="CAAA67" w:sz="4"/>
          <w:right w:val="single" w:color="CAAA67" w:sz="4"/>
          <w:insideH w:val="single" w:color="CAAA67" w:sz="2"/>
          <w:insideV w:val="single" w:color="CAAA67" w:sz="2"/>
        </w:tblBorders>
      </w:tblPr>
      <w:tblGrid>
        <w:gridCol w:w="2300"/>
        <w:gridCol w:w="2700"/>
        <w:gridCol w:w="4026"/>
      </w:tblGrid>
      <w:tr>
        <w:trPr>
          <w:tblHeader/>
        </w:trPr>
        <w:tc>
          <w:tcPr>
            <w:tcW w:type="dxa" w:w="2300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Recurso</w:t>
            </w:r>
          </w:p>
        </w:tc>
        <w:tc>
          <w:tcPr>
            <w:tcW w:type="dxa" w:w="2700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Métodos e acesso</w:t>
            </w:r>
          </w:p>
        </w:tc>
        <w:tc>
          <w:tcPr>
            <w:tcW w:type="dxa" w:w="4026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Observações de política</w:t>
            </w:r>
          </w:p>
        </w:tc>
      </w:tr>
      <w:tr>
        <w:tc>
          <w:tcPr>
            <w:tcW w:type="dxa" w:w="2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/reunioes</w:t>
            </w:r>
          </w:p>
        </w:tc>
        <w:tc>
          <w:tcPr>
            <w:tcW w:type="dxa" w:w="2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GET: todos · POST/PATCH: G A</w:t>
            </w:r>
          </w:p>
        </w:tc>
        <w:tc>
          <w:tcPr>
            <w:tcW w:type="dxa" w:w="40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tipo_id define conta_falta (RN-18)</w:t>
            </w:r>
          </w:p>
        </w:tc>
      </w:tr>
      <w:tr>
        <w:tc>
          <w:tcPr>
            <w:tcW w:type="dxa" w:w="23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/presencas</w:t>
            </w:r>
          </w:p>
        </w:tc>
        <w:tc>
          <w:tcPr>
            <w:tcW w:type="dxa" w:w="27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GET: G A (todas) · E (próprias) · POST/PATCH: G A</w:t>
            </w:r>
          </w:p>
        </w:tc>
        <w:tc>
          <w:tcPr>
            <w:tcW w:type="dxa" w:w="4026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Única por (reuniao, membro); status ∈ presente/falta/justificada/representado</w:t>
            </w:r>
          </w:p>
        </w:tc>
      </w:tr>
      <w:tr>
        <w:tc>
          <w:tcPr>
            <w:tcW w:type="dxa" w:w="2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/reunioes_1a1</w:t>
            </w:r>
          </w:p>
        </w:tc>
        <w:tc>
          <w:tcPr>
            <w:tcW w:type="dxa" w:w="2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GET/POST: membros envolvidos · G</w:t>
            </w:r>
          </w:p>
        </w:tc>
        <w:tc>
          <w:tcPr>
            <w:tcW w:type="dxa" w:w="40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Alimenta histórico de vínculo (RN-22)</w:t>
            </w:r>
          </w:p>
        </w:tc>
      </w:tr>
      <w:tr>
        <w:tc>
          <w:tcPr>
            <w:tcW w:type="dxa" w:w="23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/v_faltas_consecutivas</w:t>
            </w:r>
          </w:p>
        </w:tc>
        <w:tc>
          <w:tcPr>
            <w:tcW w:type="dxa" w:w="27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GET: G A</w:t>
            </w:r>
          </w:p>
        </w:tc>
        <w:tc>
          <w:tcPr>
            <w:tcW w:type="dxa" w:w="4026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View do contador (RN-08b) — leitura, nunca escrita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rFonts w:ascii="Trebuchet MS" w:cs="Trebuchet MS" w:eastAsia="Trebuchet MS" w:hAnsi="Trebuchet MS"/>
          <w:b/>
          <w:bCs/>
          <w:color w:val="855023"/>
          <w:sz w:val="24"/>
          <w:szCs w:val="24"/>
        </w:rPr>
        <w:t xml:space="preserve">2.3 Indicações e negócios</w:t>
      </w:r>
    </w:p>
    <w:tbl>
      <w:tblPr>
        <w:tblW w:type="dxa" w:w="9026"/>
        <w:tblBorders>
          <w:top w:val="single" w:color="CAAA67" w:sz="4"/>
          <w:left w:val="single" w:color="CAAA67" w:sz="4"/>
          <w:bottom w:val="single" w:color="CAAA67" w:sz="4"/>
          <w:right w:val="single" w:color="CAAA67" w:sz="4"/>
          <w:insideH w:val="single" w:color="CAAA67" w:sz="2"/>
          <w:insideV w:val="single" w:color="CAAA67" w:sz="2"/>
        </w:tblBorders>
      </w:tblPr>
      <w:tblGrid>
        <w:gridCol w:w="2400"/>
        <w:gridCol w:w="2800"/>
        <w:gridCol w:w="3826"/>
      </w:tblGrid>
      <w:tr>
        <w:trPr>
          <w:tblHeader/>
        </w:trPr>
        <w:tc>
          <w:tcPr>
            <w:tcW w:type="dxa" w:w="2400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Recurso</w:t>
            </w:r>
          </w:p>
        </w:tc>
        <w:tc>
          <w:tcPr>
            <w:tcW w:type="dxa" w:w="2800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Métodos e acesso</w:t>
            </w:r>
          </w:p>
        </w:tc>
        <w:tc>
          <w:tcPr>
            <w:tcW w:type="dxa" w:w="3826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Observações de política</w:t>
            </w:r>
          </w:p>
        </w:tc>
      </w:tr>
      <w:tr>
        <w:tc>
          <w:tcPr>
            <w:tcW w:type="dxa" w:w="2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/indicacoes</w:t>
            </w:r>
          </w:p>
        </w:tc>
        <w:tc>
          <w:tcPr>
            <w:tcW w:type="dxa" w:w="28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GET: G A E · POST: todos os membros</w:t>
            </w:r>
          </w:p>
        </w:tc>
        <w:tc>
          <w:tcPr>
            <w:tcW w:type="dxa" w:w="38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membro_indicador_id = auth.uid() forçado no INSERT e sem UPDATE (RN-10/11)</w:t>
            </w:r>
          </w:p>
        </w:tc>
      </w:tr>
      <w:tr>
        <w:tc>
          <w:tcPr>
            <w:tcW w:type="dxa" w:w="24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/negocios</w:t>
            </w:r>
          </w:p>
        </w:tc>
        <w:tc>
          <w:tcPr>
            <w:tcW w:type="dxa" w:w="28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GET: indicador, partes e G (linha inteira); demais só via views agregadas · PATCH: destinatário e G</w:t>
            </w:r>
          </w:p>
        </w:tc>
        <w:tc>
          <w:tcPr>
            <w:tcW w:type="dxa" w:w="3826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RLS de sigilo no campo valor (RN-26); estorno: apenas G via RPC</w:t>
            </w:r>
          </w:p>
        </w:tc>
      </w:tr>
      <w:tr>
        <w:tc>
          <w:tcPr>
            <w:tcW w:type="dxa" w:w="2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/v_dashboard_negocios</w:t>
            </w:r>
          </w:p>
        </w:tc>
        <w:tc>
          <w:tcPr>
            <w:tcW w:type="dxa" w:w="28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GET: todos</w:t>
            </w:r>
          </w:p>
        </w:tc>
        <w:tc>
          <w:tcPr>
            <w:tcW w:type="dxa" w:w="38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Somente agregados: total por mês, conversão, ticket médio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rFonts w:ascii="Trebuchet MS" w:cs="Trebuchet MS" w:eastAsia="Trebuchet MS" w:hAnsi="Trebuchet MS"/>
          <w:b/>
          <w:bCs/>
          <w:color w:val="855023"/>
          <w:sz w:val="24"/>
          <w:szCs w:val="24"/>
        </w:rPr>
        <w:t xml:space="preserve">2.4 Financeiro</w:t>
      </w:r>
    </w:p>
    <w:tbl>
      <w:tblPr>
        <w:tblW w:type="dxa" w:w="9026"/>
        <w:tblBorders>
          <w:top w:val="single" w:color="CAAA67" w:sz="4"/>
          <w:left w:val="single" w:color="CAAA67" w:sz="4"/>
          <w:bottom w:val="single" w:color="CAAA67" w:sz="4"/>
          <w:right w:val="single" w:color="CAAA67" w:sz="4"/>
          <w:insideH w:val="single" w:color="CAAA67" w:sz="2"/>
          <w:insideV w:val="single" w:color="CAAA67" w:sz="2"/>
        </w:tblBorders>
      </w:tblPr>
      <w:tblGrid>
        <w:gridCol w:w="2100"/>
        <w:gridCol w:w="2700"/>
        <w:gridCol w:w="4226"/>
      </w:tblGrid>
      <w:tr>
        <w:trPr>
          <w:tblHeader/>
        </w:trPr>
        <w:tc>
          <w:tcPr>
            <w:tcW w:type="dxa" w:w="2100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Recurso</w:t>
            </w:r>
          </w:p>
        </w:tc>
        <w:tc>
          <w:tcPr>
            <w:tcW w:type="dxa" w:w="2700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Métodos e acesso</w:t>
            </w:r>
          </w:p>
        </w:tc>
        <w:tc>
          <w:tcPr>
            <w:tcW w:type="dxa" w:w="4226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Observações de política</w:t>
            </w:r>
          </w:p>
        </w:tc>
      </w:tr>
      <w:tr>
        <w:tc>
          <w:tcPr>
            <w:tcW w:type="dxa" w:w="2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/mensalidades</w:t>
            </w:r>
          </w:p>
        </w:tc>
        <w:tc>
          <w:tcPr>
            <w:tcW w:type="dxa" w:w="2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GET: G A (todas) · E (próprias) · PATCH: G A</w:t>
            </w:r>
          </w:p>
        </w:tc>
        <w:tc>
          <w:tcPr>
            <w:tcW w:type="dxa" w:w="42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Marcar como paga dispara trigger de lançamento (RN-31)</w:t>
            </w:r>
          </w:p>
        </w:tc>
      </w:tr>
      <w:tr>
        <w:tc>
          <w:tcPr>
            <w:tcW w:type="dxa" w:w="21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/lancamentos</w:t>
            </w:r>
          </w:p>
        </w:tc>
        <w:tc>
          <w:tcPr>
            <w:tcW w:type="dxa" w:w="27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GET/POST: G A</w:t>
            </w:r>
          </w:p>
        </w:tc>
        <w:tc>
          <w:tcPr>
            <w:tcW w:type="dxa" w:w="4226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Append preferencial; correção por lançamento inverso, nunca DELETE</w:t>
            </w:r>
          </w:p>
        </w:tc>
      </w:tr>
      <w:tr>
        <w:tc>
          <w:tcPr>
            <w:tcW w:type="dxa" w:w="2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/auditoria</w:t>
            </w:r>
          </w:p>
        </w:tc>
        <w:tc>
          <w:tcPr>
            <w:tcW w:type="dxa" w:w="2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GET: G</w:t>
            </w:r>
          </w:p>
        </w:tc>
        <w:tc>
          <w:tcPr>
            <w:tcW w:type="dxa" w:w="42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Append-only por trigger; sem UPDATE/DELETE para qualquer perfil (RN-33)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CAAA67" w:sz="12"/>
        </w:pBdr>
        <w:spacing w:after="200" w:before="360"/>
      </w:pPr>
      <w:r>
        <w:rPr>
          <w:rFonts w:ascii="Trebuchet MS" w:cs="Trebuchet MS" w:eastAsia="Trebuchet MS" w:hAnsi="Trebuchet MS"/>
          <w:b/>
          <w:bCs/>
          <w:color w:val="855023"/>
          <w:sz w:val="30"/>
          <w:szCs w:val="30"/>
        </w:rPr>
        <w:t xml:space="preserve">3. Funções de Negócio (RPC)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color w:val="3A3A3A"/>
          <w:sz w:val="20"/>
          <w:szCs w:val="20"/>
        </w:rPr>
        <w:t xml:space="preserve">Atos com efeitos compostos são funções PostgreSQL expostas em /rest/v1/rpc/ — garantem transação única e auditoria. As quatro essenciais:</w:t>
      </w:r>
    </w:p>
    <w:tbl>
      <w:tblPr>
        <w:tblW w:type="dxa" w:w="9026"/>
        <w:tblBorders>
          <w:top w:val="single" w:color="CAAA67" w:sz="4"/>
          <w:left w:val="single" w:color="CAAA67" w:sz="4"/>
          <w:bottom w:val="single" w:color="CAAA67" w:sz="4"/>
          <w:right w:val="single" w:color="CAAA67" w:sz="4"/>
          <w:insideH w:val="single" w:color="CAAA67" w:sz="2"/>
          <w:insideV w:val="single" w:color="CAAA67" w:sz="2"/>
        </w:tblBorders>
      </w:tblPr>
      <w:tblGrid>
        <w:gridCol w:w="3100"/>
        <w:gridCol w:w="1500"/>
        <w:gridCol w:w="4426"/>
      </w:tblGrid>
      <w:tr>
        <w:trPr>
          <w:tblHeader/>
        </w:trPr>
        <w:tc>
          <w:tcPr>
            <w:tcW w:type="dxa" w:w="3100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Função</w:t>
            </w:r>
          </w:p>
        </w:tc>
        <w:tc>
          <w:tcPr>
            <w:tcW w:type="dxa" w:w="1500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Quem chama</w:t>
            </w:r>
          </w:p>
        </w:tc>
        <w:tc>
          <w:tcPr>
            <w:tcW w:type="dxa" w:w="4426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Efeitos em uma transação</w:t>
            </w:r>
          </w:p>
        </w:tc>
      </w:tr>
      <w:tr>
        <w:tc>
          <w:tcPr>
            <w:tcW w:type="dxa" w:w="3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aprovar_membro(membro_id)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G</w:t>
            </w:r>
          </w:p>
        </w:tc>
        <w:tc>
          <w:tcPr>
            <w:tcW w:type="dxa" w:w="44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status→ativo · registra auditoria · dispara jornada de onboarding (RN-02/15)</w:t>
            </w:r>
          </w:p>
        </w:tc>
      </w:tr>
      <w:tr>
        <w:tc>
          <w:tcPr>
            <w:tcW w:type="dxa" w:w="31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confirmar_fechamento(negocio_id, trabalho, valor)</w:t>
            </w:r>
          </w:p>
        </w:tc>
        <w:tc>
          <w:tcPr>
            <w:tcW w:type="dxa" w:w="15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Destinatário (rec.) ou G</w:t>
            </w:r>
          </w:p>
        </w:tc>
        <w:tc>
          <w:tcPr>
            <w:tcW w:type="dxa" w:w="4426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status→fechado · grava membro_confirmou e data (imutáveis) · notifica indicador · cria item de reconhecimento · auditoria (RN-12/13/25)</w:t>
            </w:r>
          </w:p>
        </w:tc>
      </w:tr>
      <w:tr>
        <w:tc>
          <w:tcPr>
            <w:tcW w:type="dxa" w:w="3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registrar_pagamento(mensalidade_id, data)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G A</w:t>
            </w:r>
          </w:p>
        </w:tc>
        <w:tc>
          <w:tcPr>
            <w:tcW w:type="dxa" w:w="44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status→paga · insere lançamento de receita vinculado · auditoria (RN-31)</w:t>
            </w:r>
          </w:p>
        </w:tc>
      </w:tr>
      <w:tr>
        <w:tc>
          <w:tcPr>
            <w:tcW w:type="dxa" w:w="31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estornar_fechamento(negocio_id, motivo)</w:t>
            </w:r>
          </w:p>
        </w:tc>
        <w:tc>
          <w:tcPr>
            <w:tcW w:type="dxa" w:w="15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G</w:t>
            </w:r>
          </w:p>
        </w:tc>
        <w:tc>
          <w:tcPr>
            <w:tcW w:type="dxa" w:w="4426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Reverte status com motivo obrigatório · auditoria destacada (RN-33)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rFonts w:ascii="Trebuchet MS" w:cs="Trebuchet MS" w:eastAsia="Trebuchet MS" w:hAnsi="Trebuchet MS"/>
          <w:b/>
          <w:bCs/>
          <w:color w:val="855023"/>
          <w:sz w:val="24"/>
          <w:szCs w:val="24"/>
        </w:rPr>
        <w:t xml:space="preserve">3.1 Exemplo — confirmar fechamento</w:t>
      </w:r>
    </w:p>
    <w:p>
      <w:pPr>
        <w:shd w:fill="F7F2E8" w:val="clear"/>
        <w:spacing w:after="60" w:line="260"/>
      </w:pPr>
      <w:r>
        <w:rPr>
          <w:rFonts w:ascii="Courier New" w:cs="Courier New" w:eastAsia="Courier New" w:hAnsi="Courier New"/>
          <w:color w:val="5A4632"/>
          <w:sz w:val="17"/>
          <w:szCs w:val="17"/>
        </w:rPr>
        <w:t xml:space="preserve">POST /rest/v1/rpc/confirmar_fechamento</w:t>
      </w:r>
    </w:p>
    <w:p>
      <w:pPr>
        <w:shd w:fill="F7F2E8" w:val="clear"/>
        <w:spacing w:after="60" w:line="260"/>
      </w:pPr>
      <w:r>
        <w:rPr>
          <w:rFonts w:ascii="Courier New" w:cs="Courier New" w:eastAsia="Courier New" w:hAnsi="Courier New"/>
          <w:color w:val="5A4632"/>
          <w:sz w:val="17"/>
          <w:szCs w:val="17"/>
        </w:rPr>
        <w:t xml:space="preserve">{ "negocio_id": "8f2c…", "trabalho": "Projeto arquitetônico executivo da nova sede", "valor": 85000.00 }</w:t>
      </w:r>
    </w:p>
    <w:p>
      <w:pPr>
        <w:shd w:fill="F7F2E8" w:val="clear"/>
        <w:spacing w:after="60" w:line="260"/>
      </w:pPr>
      <w:r>
        <w:rPr>
          <w:rFonts w:ascii="Courier New" w:cs="Courier New" w:eastAsia="Courier New" w:hAnsi="Courier New"/>
          <w:color w:val="5A4632"/>
          <w:sz w:val="17"/>
          <w:szCs w:val="17"/>
        </w:rPr>
        <w:t xml:space="preserve">→ 200 { "status": "fechado", "confirmado_por": "eduardo.m", "indicador_notificado": true }</w:t>
      </w:r>
    </w:p>
    <w:p>
      <w:pPr>
        <w:pStyle w:val="Heading1"/>
        <w:pBdr>
          <w:bottom w:val="single" w:color="CAAA67" w:sz="12"/>
        </w:pBdr>
        <w:spacing w:after="200" w:before="360"/>
      </w:pPr>
      <w:r>
        <w:rPr>
          <w:rFonts w:ascii="Trebuchet MS" w:cs="Trebuchet MS" w:eastAsia="Trebuchet MS" w:hAnsi="Trebuchet MS"/>
          <w:b/>
          <w:bCs/>
          <w:color w:val="855023"/>
          <w:sz w:val="30"/>
          <w:szCs w:val="30"/>
        </w:rPr>
        <w:t xml:space="preserve">4. Webhooks e Integrações — Fase 3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Verdana" w:cs="Verdana" w:eastAsia="Verdana" w:hAnsi="Verdana"/>
          <w:color w:val="3A3A3A"/>
          <w:sz w:val="20"/>
          <w:szCs w:val="20"/>
        </w:rPr>
        <w:t xml:space="preserve">Asaas/Mercado Pago → POST /functions/v1/webhook-pagamento: concilia mensalidade e cria lançamento pela mesma RPC registrar_pagamento — nenhum caminho paralelo de escrita.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Verdana" w:cs="Verdana" w:eastAsia="Verdana" w:hAnsi="Verdana"/>
          <w:color w:val="3A3A3A"/>
          <w:sz w:val="20"/>
          <w:szCs w:val="20"/>
        </w:rPr>
        <w:t xml:space="preserve">Eventos de domínio (indicação criada, SLA vencido, 2ª falta, fechamento) publicados para a integração WhatsApp — o conteúdo público jamais inclui valores (RN-26).</w:t>
      </w:r>
    </w:p>
    <w:p>
      <w:pPr>
        <w:pStyle w:val="Heading1"/>
        <w:pBdr>
          <w:bottom w:val="single" w:color="CAAA67" w:sz="12"/>
        </w:pBdr>
        <w:spacing w:after="200" w:before="360"/>
      </w:pPr>
      <w:r>
        <w:rPr>
          <w:rFonts w:ascii="Trebuchet MS" w:cs="Trebuchet MS" w:eastAsia="Trebuchet MS" w:hAnsi="Trebuchet MS"/>
          <w:b/>
          <w:bCs/>
          <w:color w:val="855023"/>
          <w:sz w:val="30"/>
          <w:szCs w:val="30"/>
        </w:rPr>
        <w:t xml:space="preserve">5. Versionamento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color w:val="3A3A3A"/>
          <w:sz w:val="20"/>
          <w:szCs w:val="20"/>
        </w:rPr>
        <w:t xml:space="preserve">Alterações de contrato seguem versionamento aditivo: campos novos não quebram clientes; remoções exigem ciclo de depreciação de 60 dias e registro no changelog do repositório. O Prompt Mestre (Documento 11) referencia esta especificação como contrato de implementação.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AAA67" w:sz="6"/>
      </w:pBdr>
      <w:spacing w:before="80"/>
      <w:jc w:val="center"/>
    </w:pPr>
    <w:r>
      <w:rPr>
        <w:rFonts w:ascii="Verdana" w:cs="Verdana" w:eastAsia="Verdana" w:hAnsi="Verdana"/>
        <w:color w:val="855023"/>
        <w:sz w:val="16"/>
        <w:szCs w:val="16"/>
      </w:rPr>
      <w:t xml:space="preserve">Documentação da API — Confidencial | FONS Consultoria  •  Página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AAA67" w:sz="6"/>
      </w:pBdr>
      <w:spacing w:after="120"/>
      <w:jc w:val="right"/>
    </w:pPr>
    <w:r>
      <w:rPr>
        <w:rFonts w:ascii="Trebuchet MS" w:cs="Trebuchet MS" w:eastAsia="Trebuchet MS" w:hAnsi="Trebuchet MS"/>
        <w:b/>
        <w:bCs/>
        <w:color w:val="855023"/>
        <w:sz w:val="18"/>
        <w:szCs w:val="18"/>
      </w:rPr>
      <w:t xml:space="preserve">MASON CONNECT  </w:t>
    </w:r>
    <w:r>
      <w:drawing>
        <wp:inline distT="0" distB="0" distL="0" distR="0">
          <wp:extent cx="323850" cy="2857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38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color w:val="3A3A3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b18b06a02f82ecfdd8b1f1ef44f661bf75bd968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b18b06a02f82ecfdd8b1f1ef44f661bf75bd968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2026-07-04T01:11:14.773Z</dcterms:created>
  <dcterms:modified xsi:type="dcterms:W3CDTF">2026-07-04T01:11:14.785Z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