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20"/>
        <w:jc w:val="center"/>
      </w:pPr>
      <w:r>
        <w:drawing>
          <wp:inline distT="0" distB="0" distL="0" distR="0">
            <wp:extent cx="16192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855023"/>
          <w:sz w:val="56"/>
          <w:szCs w:val="56"/>
        </w:rPr>
        <w:t xml:space="preserve">MASON CONNECT</w:t>
      </w:r>
    </w:p>
    <w:p>
      <w:pPr>
        <w:spacing w:after="340"/>
        <w:jc w:val="center"/>
      </w:pPr>
      <w:r>
        <w:rPr>
          <w:rFonts w:ascii="Trebuchet MS" w:cs="Trebuchet MS" w:eastAsia="Trebuchet MS" w:hAnsi="Trebuchet MS"/>
          <w:color w:val="CAAA67"/>
          <w:sz w:val="24"/>
          <w:szCs w:val="24"/>
        </w:rPr>
        <w:t xml:space="preserve">Projeto de Engenharia de Software — Bloco D: Execução</w:t>
      </w:r>
    </w:p>
    <w:p>
      <w:pPr>
        <w:spacing w:after="80"/>
        <w:jc w:val="center"/>
      </w:pPr>
      <w:r>
        <w:rPr>
          <w:rFonts w:ascii="Verdana" w:cs="Verdana" w:eastAsia="Verdana" w:hAnsi="Verdana"/>
          <w:b/>
          <w:bCs/>
          <w:color w:val="6B4A2B"/>
          <w:sz w:val="20"/>
          <w:szCs w:val="20"/>
        </w:rPr>
        <w:t xml:space="preserve">DOCUMENTO 10 / BLOCO D</w:t>
      </w:r>
    </w:p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color w:val="3A3A3A"/>
          <w:sz w:val="34"/>
          <w:szCs w:val="34"/>
        </w:rPr>
        <w:t xml:space="preserve">Plano de Desenvolvimento por Sprints</w:t>
      </w:r>
    </w:p>
    <w:p>
      <w:pPr>
        <w:spacing w:after="800"/>
        <w:jc w:val="center"/>
      </w:pPr>
      <w:r>
        <w:rPr>
          <w:rFonts w:ascii="Verdana" w:cs="Verdana" w:eastAsia="Verdana" w:hAnsi="Verdana"/>
          <w:i/>
          <w:iCs/>
          <w:color w:val="3A3A3A"/>
          <w:sz w:val="19"/>
          <w:szCs w:val="19"/>
        </w:rPr>
        <w:t xml:space="preserve">7 sprints da Fase 2: da fundação ao go-live, com Definition of Done</w:t>
      </w:r>
    </w:p>
    <w:p>
      <w:pPr>
        <w:spacing w:after="60"/>
        <w:jc w:val="center"/>
      </w:pPr>
      <w:r>
        <w:rPr>
          <w:rFonts w:ascii="Verdana" w:cs="Verdana" w:eastAsia="Verdana" w:hAnsi="Verdana"/>
          <w:color w:val="3A3A3A"/>
          <w:sz w:val="19"/>
          <w:szCs w:val="19"/>
        </w:rPr>
        <w:t xml:space="preserve">Versão 1.0  •  Julho de 2026  •  Elaboração: FONS Consultoria</w:t>
      </w:r>
    </w:p>
    <w:p>
      <w:pPr>
        <w:jc w:val="center"/>
      </w:pPr>
      <w:r>
        <w:rPr>
          <w:rFonts w:ascii="Verdana" w:cs="Verdana" w:eastAsia="Verdana" w:hAnsi="Verdana"/>
          <w:b/>
          <w:bCs/>
          <w:color w:val="855023"/>
          <w:sz w:val="17"/>
          <w:szCs w:val="17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1. Método de Trabalho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 Fase 2 (MVP em produção) será executada em 7 sprints semanais, em Scrum enxuto adequado a uma equipe compacta. Cadência: planejamento na segunda (30 min), revisão com demonstração à gestão na sexta (30 min) — a gestão vê o sistema crescer semana a semana, e cada demonstração é uma micro-validação que evita surpresas no go-live. O protótipo aprovado (Documento 08) é o contrato visual; o SRS (Documento 03) é o contrato funcional.</w:t>
      </w:r>
    </w:p>
    <w:p>
      <w:pPr>
        <w:pStyle w:val="Heading2"/>
        <w:spacing w:after="140" w:before="280"/>
      </w:pPr>
      <w:r>
        <w:rPr>
          <w:rFonts w:ascii="Trebuchet MS" w:cs="Trebuchet MS" w:eastAsia="Trebuchet MS" w:hAnsi="Trebuchet MS"/>
          <w:b/>
          <w:bCs/>
          <w:color w:val="855023"/>
          <w:sz w:val="24"/>
          <w:szCs w:val="24"/>
        </w:rPr>
        <w:t xml:space="preserve">1.1 Papéis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1900"/>
        <w:gridCol w:w="2700"/>
        <w:gridCol w:w="4426"/>
      </w:tblGrid>
      <w:tr>
        <w:trPr>
          <w:tblHeader/>
        </w:trPr>
        <w:tc>
          <w:tcPr>
            <w:tcW w:type="dxa" w:w="19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27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44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Responsabilidade na Fase 2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Luetil (FONS Consultoria)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Prioriza o backlog, valida entregas contra o SRS, despacha dúvidas de regra em até 24h</w:t>
            </w:r>
          </w:p>
        </w:tc>
      </w:tr>
      <w:tr>
        <w:tc>
          <w:tcPr>
            <w:tcW w:type="dxa" w:w="1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Sponsor</w:t>
            </w:r>
          </w:p>
        </w:tc>
        <w:tc>
          <w:tcPr>
            <w:tcW w:type="dxa" w:w="27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Leonardo (Presidência)</w:t>
            </w:r>
          </w:p>
        </w:tc>
        <w:tc>
          <w:tcPr>
            <w:tcW w:type="dxa" w:w="4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Ratifica as 4 decisões pendentes até a Sprint 3; participa das revisões quinzenais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Desenvolvimento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Dev + IA de programação (Prompt Mestre)</w:t>
            </w:r>
          </w:p>
        </w:tc>
        <w:tc>
          <w:tcPr>
            <w:tcW w:type="dxa" w:w="4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Implementa conforme os contratos; cobre cada RF com teste de aceitação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2. Plano de Sprints — Fase 2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1500"/>
        <w:gridCol w:w="1900"/>
        <w:gridCol w:w="2200"/>
        <w:gridCol w:w="3426"/>
      </w:tblGrid>
      <w:tr>
        <w:trPr>
          <w:tblHeader/>
        </w:trPr>
        <w:tc>
          <w:tcPr>
            <w:tcW w:type="dxa" w:w="15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9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22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Requisitos (SRS)</w:t>
            </w:r>
          </w:p>
        </w:tc>
        <w:tc>
          <w:tcPr>
            <w:tcW w:type="dxa" w:w="34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Demonstração de sexta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S0 — Fundação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Projeto, banco e segurança de pé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RF-35, RF-38 · DDL completo · RLS base · Auth</w:t>
            </w:r>
          </w:p>
        </w:tc>
        <w:tc>
          <w:tcPr>
            <w:tcW w:type="dxa" w:w="3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Login real pelos 3 perfis; auditoria gravando</w:t>
            </w:r>
          </w:p>
        </w:tc>
      </w:tr>
      <w:tr>
        <w:tc>
          <w:tcPr>
            <w:tcW w:type="dxa" w:w="15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S1 — Cadastros</w:t>
            </w:r>
          </w:p>
        </w:tc>
        <w:tc>
          <w:tcPr>
            <w:tcW w:type="dxa" w:w="1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Núcleo de pessoas operante</w:t>
            </w:r>
          </w:p>
        </w:tc>
        <w:tc>
          <w:tcPr>
            <w:tcW w:type="dxa" w:w="22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RF-01…06, 23, 25</w:t>
            </w:r>
          </w:p>
        </w:tc>
        <w:tc>
          <w:tcPr>
            <w:tcW w:type="dxa" w:w="3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Aprovar um membro de verdade; cadeira bloqueando segmento duplicado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S2 — Reuniões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Operação ao vivo pronta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RF-07…11, 27, 28</w:t>
            </w:r>
          </w:p>
        </w:tc>
        <w:tc>
          <w:tcPr>
            <w:tcW w:type="dxa" w:w="3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Presença pelo celular em reunião simulada; contador de faltas alertando</w:t>
            </w:r>
          </w:p>
        </w:tc>
      </w:tr>
      <w:tr>
        <w:tc>
          <w:tcPr>
            <w:tcW w:type="dxa" w:w="15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S3 — Indicações</w:t>
            </w:r>
          </w:p>
        </w:tc>
        <w:tc>
          <w:tcPr>
            <w:tcW w:type="dxa" w:w="1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O coração do valor</w:t>
            </w:r>
          </w:p>
        </w:tc>
        <w:tc>
          <w:tcPr>
            <w:tcW w:type="dxa" w:w="22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RF-12…15, 29, 30, 32</w:t>
            </w:r>
          </w:p>
        </w:tc>
        <w:tc>
          <w:tcPr>
            <w:tcW w:type="dxa" w:w="3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Ciclo completo indicação→fechamento com sigilo de valores ativo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S4 — Financeiro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Caixa sincronizado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RF-16…22, 33, 34</w:t>
            </w:r>
          </w:p>
        </w:tc>
        <w:tc>
          <w:tcPr>
            <w:tcW w:type="dxa" w:w="3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Pagamento gerando lançamento; extrato conciliado da competência</w:t>
            </w:r>
          </w:p>
        </w:tc>
      </w:tr>
      <w:tr>
        <w:tc>
          <w:tcPr>
            <w:tcW w:type="dxa" w:w="15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S5 — Relatórios</w:t>
            </w:r>
          </w:p>
        </w:tc>
        <w:tc>
          <w:tcPr>
            <w:tcW w:type="dxa" w:w="1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Gestão enxergando tudo</w:t>
            </w:r>
          </w:p>
        </w:tc>
        <w:tc>
          <w:tcPr>
            <w:tcW w:type="dxa" w:w="22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RF-31, 36, 37</w:t>
            </w:r>
          </w:p>
        </w:tc>
        <w:tc>
          <w:tcPr>
            <w:tcW w:type="dxa" w:w="34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4 dashboards com dados reais carregados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S6 — Go-live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Produção com dados reais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Carga, treinamento, RF-24, ajustes</w:t>
            </w:r>
          </w:p>
        </w:tc>
        <w:tc>
          <w:tcPr>
            <w:tcW w:type="dxa" w:w="34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Primeira reunião oficial 100% operada no sistema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3. 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Requisito atende ao critério de aceitação do SRS e ao visual do Design System (Documento 07).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Política RLS testada nos três perfis — inclusive a negação (o que não pode, retorna 403).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Ação crítica registrando auditoria; regra parametrizável editável na tela do Gestor.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Fluxo executável no celular em até 3 toques quando marcado como fluxo de reunião.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Demonstrado à gestão na revisão de sexta e aceito pelo Product Owner.</w:t>
      </w: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4. Dependências e Riscos do Plano</w:t>
      </w:r>
    </w:p>
    <w:tbl>
      <w:tblPr>
        <w:tblW w:type="dxa" w:w="9026"/>
        <w:tblBorders>
          <w:top w:val="single" w:color="CAAA67" w:sz="4"/>
          <w:left w:val="single" w:color="CAAA67" w:sz="4"/>
          <w:bottom w:val="single" w:color="CAAA67" w:sz="4"/>
          <w:right w:val="single" w:color="CAAA67" w:sz="4"/>
          <w:insideH w:val="single" w:color="CAAA67" w:sz="2"/>
          <w:insideV w:val="single" w:color="CAAA67" w:sz="2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Risco / dependência</w:t>
            </w:r>
          </w:p>
        </w:tc>
        <w:tc>
          <w:tcPr>
            <w:tcW w:type="dxa" w:w="5126"/>
            <w:shd w:fill="85502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7"/>
                <w:szCs w:val="17"/>
              </w:rPr>
              <w:t xml:space="preserve">Tratamento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4 decisões pendentes não ratificadas</w:t>
            </w:r>
          </w:p>
        </w:tc>
        <w:tc>
          <w:tcPr>
            <w:tcW w:type="dxa" w:w="5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Prazo-limite: Sprint 3. Até lá, o sistema opera com as recomendações da consultoria como padrão parametrizado — trocar é configuração, não código</w:t>
            </w:r>
          </w:p>
        </w:tc>
      </w:tr>
      <w:tr>
        <w:tc>
          <w:tcPr>
            <w:tcW w:type="dxa" w:w="3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Carga de dados históricos incompleta</w:t>
            </w:r>
          </w:p>
        </w:tc>
        <w:tc>
          <w:tcPr>
            <w:tcW w:type="dxa" w:w="5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Data de corte: o sistema é fonte oficial a partir da competência do go-live; histórico anterior entra como saldo inicial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Disponibilidade da gestão nas revisões</w:t>
            </w:r>
          </w:p>
        </w:tc>
        <w:tc>
          <w:tcPr>
            <w:tcW w:type="dxa" w:w="512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Revisões gravadas; ausência não bloqueia — aceite assíncrono em 48h</w:t>
            </w:r>
          </w:p>
        </w:tc>
      </w:tr>
      <w:tr>
        <w:tc>
          <w:tcPr>
            <w:tcW w:type="dxa" w:w="3900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Escopo crescente durante a Fase 2</w:t>
            </w:r>
          </w:p>
        </w:tc>
        <w:tc>
          <w:tcPr>
            <w:tcW w:type="dxa" w:w="5126"/>
            <w:shd w:fill="F5EFE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before="40" w:line="250"/>
              <w:jc w:val="left"/>
            </w:pPr>
            <w:r>
              <w:rPr>
                <w:rFonts w:ascii="Verdana" w:cs="Verdana" w:eastAsia="Verdana" w:hAnsi="Verdana"/>
                <w:color w:val="3A3A3A"/>
                <w:sz w:val="17"/>
                <w:szCs w:val="17"/>
              </w:rPr>
              <w:t xml:space="preserve">Novas ideias vão para o backlog da Fase 3; o MVP fecha com os RFs essenciais do SRS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AAA67" w:sz="12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855023"/>
          <w:sz w:val="30"/>
          <w:szCs w:val="30"/>
        </w:rPr>
        <w:t xml:space="preserve">5. Fase 3 — Backlog de Evolução</w:t>
      </w:r>
    </w:p>
    <w:p>
      <w:pPr>
        <w:spacing w:after="160" w:line="300"/>
        <w:jc w:val="both"/>
      </w:pPr>
      <w:r>
        <w:rPr>
          <w:rFonts w:ascii="Verdana" w:cs="Verdana" w:eastAsia="Verdana" w:hAnsi="Verdana"/>
          <w:color w:val="3A3A3A"/>
          <w:sz w:val="20"/>
          <w:szCs w:val="20"/>
        </w:rPr>
        <w:t xml:space="preserve">Após 30 dias de operação estável: integração de cobrança Pix/boleto (Asaas) com conciliação automática, notificações WhatsApp (lembrete de reunião, alerta fraterno de falta, aviso de indicação), ativação do segundo núcleo estadual (a estrutura já está pronta — RN-34) e os requisitos D remanescentes. A priorização será feita com os dados reais dos dashboards — o próprio sistema dirá onde está o próximo valor.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AAA67" w:sz="6"/>
      </w:pBdr>
      <w:spacing w:before="80"/>
      <w:jc w:val="center"/>
    </w:pPr>
    <w:r>
      <w:rPr>
        <w:rFonts w:ascii="Verdana" w:cs="Verdana" w:eastAsia="Verdana" w:hAnsi="Verdana"/>
        <w:color w:val="855023"/>
        <w:sz w:val="16"/>
        <w:szCs w:val="16"/>
      </w:rPr>
      <w:t xml:space="preserve">Plano de Sprints — Confidencial | FONS Consultoria  •  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A67" w:sz="6"/>
      </w:pBdr>
      <w:spacing w:after="120"/>
      <w:jc w:val="right"/>
    </w:pPr>
    <w:r>
      <w:rPr>
        <w:rFonts w:ascii="Trebuchet MS" w:cs="Trebuchet MS" w:eastAsia="Trebuchet MS" w:hAnsi="Trebuchet MS"/>
        <w:b/>
        <w:bCs/>
        <w:color w:val="855023"/>
        <w:sz w:val="18"/>
        <w:szCs w:val="18"/>
      </w:rPr>
      <w:t xml:space="preserve">MASON CONNECT  </w:t>
    </w: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18b06a02f82ecfdd8b1f1ef44f661bf75bd96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18b06a02f82ecfdd8b1f1ef44f661bf75bd96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2026-07-04T01:11:15.038Z</dcterms:created>
  <dcterms:modified xsi:type="dcterms:W3CDTF">2026-07-04T01:11:15.038Z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