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500"/>
        <w:jc w:val="center"/>
      </w:pPr>
      <w:r>
        <w:drawing>
          <wp:inline distT="0" distB="0" distL="0" distR="0">
            <wp:extent cx="190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695450"/>
                    </a:xfrm>
                    <a:prstGeom prst="rect">
                      <a:avLst/>
                    </a:prstGeom>
                  </pic:spPr>
                </pic:pic>
              </a:graphicData>
            </a:graphic>
          </wp:inline>
        </w:drawing>
      </w:r>
    </w:p>
    <w:p>
      <w:pPr>
        <w:spacing w:after="120"/>
        <w:jc w:val="center"/>
      </w:pPr>
      <w:r>
        <w:rPr>
          <w:rFonts w:ascii="Trebuchet MS" w:cs="Trebuchet MS" w:eastAsia="Trebuchet MS" w:hAnsi="Trebuchet MS"/>
          <w:b/>
          <w:bCs/>
          <w:color w:val="855023"/>
          <w:sz w:val="64"/>
          <w:szCs w:val="64"/>
        </w:rPr>
        <w:t xml:space="preserve">MASON CONNECT</w:t>
      </w:r>
    </w:p>
    <w:p>
      <w:pPr>
        <w:spacing w:after="400"/>
        <w:jc w:val="center"/>
      </w:pPr>
      <w:r>
        <w:rPr>
          <w:rFonts w:ascii="Trebuchet MS" w:cs="Trebuchet MS" w:eastAsia="Trebuchet MS" w:hAnsi="Trebuchet MS"/>
          <w:color w:val="CAAA67"/>
          <w:sz w:val="30"/>
          <w:szCs w:val="30"/>
        </w:rPr>
        <w:t xml:space="preserve">Sistema de Gestão de Networking Profissional</w:t>
      </w:r>
    </w:p>
    <w:p>
      <w:pPr>
        <w:spacing w:after="120"/>
        <w:jc w:val="center"/>
      </w:pPr>
      <w:r>
        <w:rPr>
          <w:rFonts w:ascii="Trebuchet MS" w:cs="Trebuchet MS" w:eastAsia="Trebuchet MS" w:hAnsi="Trebuchet MS"/>
          <w:b/>
          <w:bCs/>
          <w:color w:val="3A3A3A"/>
          <w:sz w:val="26"/>
          <w:szCs w:val="26"/>
        </w:rPr>
        <w:t xml:space="preserve">ESPECIFICAÇÃO TÉCNICA E FUNCIONAL</w:t>
      </w:r>
    </w:p>
    <w:p>
      <w:pPr>
        <w:spacing w:after="900"/>
        <w:jc w:val="center"/>
      </w:pPr>
      <w:r>
        <w:rPr>
          <w:rFonts w:ascii="Verdana" w:cs="Verdana" w:eastAsia="Verdana" w:hAnsi="Verdana"/>
          <w:i/>
          <w:iCs/>
          <w:color w:val="3A3A3A"/>
          <w:sz w:val="20"/>
          <w:szCs w:val="20"/>
        </w:rPr>
        <w:t xml:space="preserve">Documento base para desenvolvimento, validação e evolução do aplicativo</w:t>
      </w:r>
    </w:p>
    <w:p>
      <w:pPr>
        <w:spacing w:after="60"/>
        <w:jc w:val="center"/>
      </w:pPr>
      <w:r>
        <w:rPr>
          <w:rFonts w:ascii="Verdana" w:cs="Verdana" w:eastAsia="Verdana" w:hAnsi="Verdana"/>
          <w:color w:val="3A3A3A"/>
          <w:sz w:val="20"/>
          <w:szCs w:val="20"/>
        </w:rPr>
        <w:t xml:space="preserve">Versão 1.0  •  Julho de 2026</w:t>
      </w:r>
    </w:p>
    <w:p>
      <w:pPr>
        <w:spacing w:after="60"/>
        <w:jc w:val="center"/>
      </w:pPr>
      <w:r>
        <w:rPr>
          <w:rFonts w:ascii="Verdana" w:cs="Verdana" w:eastAsia="Verdana" w:hAnsi="Verdana"/>
          <w:color w:val="3A3A3A"/>
          <w:sz w:val="20"/>
          <w:szCs w:val="20"/>
        </w:rPr>
        <w:t xml:space="preserve">Elaboração: FONS Consultoria — Gestão Estratégica</w:t>
      </w:r>
    </w:p>
    <w:p>
      <w:pPr>
        <w:jc w:val="center"/>
      </w:pPr>
      <w:r>
        <w:rPr>
          <w:rFonts w:ascii="Verdana" w:cs="Verdana" w:eastAsia="Verdana" w:hAnsi="Verdana"/>
          <w:b/>
          <w:bCs/>
          <w:color w:val="855023"/>
          <w:sz w:val="18"/>
          <w:szCs w:val="18"/>
        </w:rPr>
        <w:t xml:space="preserve">DOCUMENTO CONFIDENCIAL</w:t>
      </w:r>
    </w:p>
    <w:p>
      <w:r>
        <w:br w:type="page"/>
      </w:r>
    </w:p>
    <w:p>
      <w:pPr>
        <w:sectPr>
          <w:pgSz w:w="11906" w:h="16838" w:orient="portrait"/>
          <w:pgMar w:top="1440" w:right="1440" w:bottom="1440" w:left="1440" w:header="708" w:footer="708" w:gutter="0"/>
          <w:pgNumType/>
          <w:docGrid w:linePitch="360"/>
        </w:sectPr>
      </w:pPr>
    </w:p>
    <w:p>
      <w:pPr>
        <w:spacing w:after="240"/>
      </w:pPr>
      <w:r>
        <w:rPr>
          <w:rFonts w:ascii="Trebuchet MS" w:cs="Trebuchet MS" w:eastAsia="Trebuchet MS" w:hAnsi="Trebuchet MS"/>
          <w:b/>
          <w:bCs/>
          <w:color w:val="855023"/>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1. Sumário Executivo</w:t>
      </w:r>
    </w:p>
    <w:p>
      <w:pPr>
        <w:spacing w:after="160" w:line="300"/>
        <w:jc w:val="both"/>
      </w:pPr>
      <w:r>
        <w:rPr>
          <w:rFonts w:ascii="Verdana" w:cs="Verdana" w:eastAsia="Verdana" w:hAnsi="Verdana"/>
          <w:color w:val="3A3A3A"/>
          <w:sz w:val="20"/>
          <w:szCs w:val="20"/>
        </w:rPr>
        <w:t xml:space="preserve">O presente documento especifica o sistema de gestão do Mason Connect, grupo de networking profissional que reúne semanalmente empresários Maçons para reuniões de negócios, indicações qualificadas e treinamentos. O aplicativo tem como missão profissionalizar a operação do grupo, oferecendo controle completo sobre membros, empresas, reuniões, presenças, indicações, negócios fechados e a gestão financeira — com relatórios e dashboards que traduzem o valor gerado pela comunidade em números concretos.</w:t>
      </w:r>
    </w:p>
    <w:p>
      <w:pPr>
        <w:spacing w:after="160" w:line="300"/>
        <w:jc w:val="both"/>
      </w:pPr>
      <w:r>
        <w:rPr>
          <w:rFonts w:ascii="Verdana" w:cs="Verdana" w:eastAsia="Verdana" w:hAnsi="Verdana"/>
          <w:color w:val="3A3A3A"/>
          <w:sz w:val="20"/>
          <w:szCs w:val="20"/>
        </w:rPr>
        <w:t xml:space="preserve">A especificação foi estruturada para permitir alterações com facilidade: todas as regras de negócio (planos, faltas, categorias) são parametrizáveis, e a arquitetura modular garante que a evolução de um módulo não comprometa os demais. Este documento serve como contrato técnico entre a gestão do Mason Connect e a equipe de desenvolvimento, devendo ser validado e aprovado antes do início da construção.</w:t>
      </w:r>
    </w:p>
    <w:p>
      <w:pPr>
        <w:pStyle w:val="Heading2"/>
        <w:spacing w:after="140" w:before="280"/>
      </w:pPr>
      <w:r>
        <w:rPr>
          <w:rFonts w:ascii="Trebuchet MS" w:cs="Trebuchet MS" w:eastAsia="Trebuchet MS" w:hAnsi="Trebuchet MS"/>
          <w:b/>
          <w:bCs/>
          <w:color w:val="855023"/>
          <w:sz w:val="24"/>
          <w:szCs w:val="24"/>
        </w:rPr>
        <w:t xml:space="preserve">1.1 Objetivos do sistema</w:t>
      </w:r>
    </w:p>
    <w:p>
      <w:pPr>
        <w:pStyle w:val="ListParagraph"/>
        <w:numPr>
          <w:ilvl w:val="0"/>
          <w:numId w:val="2"/>
        </w:numPr>
        <w:spacing w:after="80" w:line="280"/>
      </w:pPr>
      <w:r>
        <w:rPr>
          <w:rFonts w:ascii="Verdana" w:cs="Verdana" w:eastAsia="Verdana" w:hAnsi="Verdana"/>
          <w:color w:val="3A3A3A"/>
          <w:sz w:val="20"/>
          <w:szCs w:val="20"/>
        </w:rPr>
        <w:t xml:space="preserve">Centralizar o cadastro de membros, empresas, convidados e suplentes com validação das regras de admissão.</w:t>
      </w:r>
    </w:p>
    <w:p>
      <w:pPr>
        <w:pStyle w:val="ListParagraph"/>
        <w:numPr>
          <w:ilvl w:val="0"/>
          <w:numId w:val="2"/>
        </w:numPr>
        <w:spacing w:after="80" w:line="280"/>
      </w:pPr>
      <w:r>
        <w:rPr>
          <w:rFonts w:ascii="Verdana" w:cs="Verdana" w:eastAsia="Verdana" w:hAnsi="Verdana"/>
          <w:color w:val="3A3A3A"/>
          <w:sz w:val="20"/>
          <w:szCs w:val="20"/>
        </w:rPr>
        <w:t xml:space="preserve">Controlar o agendamento das reuniões semanais e o registro de presenças, com alertas automáticos de faltas consecutivas.</w:t>
      </w:r>
    </w:p>
    <w:p>
      <w:pPr>
        <w:pStyle w:val="ListParagraph"/>
        <w:numPr>
          <w:ilvl w:val="0"/>
          <w:numId w:val="2"/>
        </w:numPr>
        <w:spacing w:after="80" w:line="280"/>
      </w:pPr>
      <w:r>
        <w:rPr>
          <w:rFonts w:ascii="Verdana" w:cs="Verdana" w:eastAsia="Verdana" w:hAnsi="Verdana"/>
          <w:color w:val="3A3A3A"/>
          <w:sz w:val="20"/>
          <w:szCs w:val="20"/>
        </w:rPr>
        <w:t xml:space="preserve">Registrar indicações de negócios, acompanhar negócios em andamento e formalizar negócios fechados com valor e responsável.</w:t>
      </w:r>
    </w:p>
    <w:p>
      <w:pPr>
        <w:pStyle w:val="ListParagraph"/>
        <w:numPr>
          <w:ilvl w:val="0"/>
          <w:numId w:val="2"/>
        </w:numPr>
        <w:spacing w:after="80" w:line="280"/>
      </w:pPr>
      <w:r>
        <w:rPr>
          <w:rFonts w:ascii="Verdana" w:cs="Verdana" w:eastAsia="Verdana" w:hAnsi="Verdana"/>
          <w:color w:val="3A3A3A"/>
          <w:sz w:val="20"/>
          <w:szCs w:val="20"/>
        </w:rPr>
        <w:t xml:space="preserve">Gerenciar as finanças do grupo: mensalidades, pagamentos, coffee breaks, despesas e receitas.</w:t>
      </w:r>
    </w:p>
    <w:p>
      <w:pPr>
        <w:pStyle w:val="ListParagraph"/>
        <w:numPr>
          <w:ilvl w:val="0"/>
          <w:numId w:val="2"/>
        </w:numPr>
        <w:spacing w:after="80" w:line="280"/>
      </w:pPr>
      <w:r>
        <w:rPr>
          <w:rFonts w:ascii="Verdana" w:cs="Verdana" w:eastAsia="Verdana" w:hAnsi="Verdana"/>
          <w:color w:val="3A3A3A"/>
          <w:sz w:val="20"/>
          <w:szCs w:val="20"/>
        </w:rPr>
        <w:t xml:space="preserve">Gerar relatórios e dashboards executivos que demonstrem o retorno tangível da participação no grupo.</w:t>
      </w:r>
    </w:p>
    <w:p>
      <w:pPr>
        <w:pStyle w:val="ListParagraph"/>
        <w:numPr>
          <w:ilvl w:val="0"/>
          <w:numId w:val="2"/>
        </w:numPr>
        <w:spacing w:after="80" w:line="280"/>
      </w:pPr>
      <w:r>
        <w:rPr>
          <w:rFonts w:ascii="Verdana" w:cs="Verdana" w:eastAsia="Verdana" w:hAnsi="Verdana"/>
          <w:color w:val="3A3A3A"/>
          <w:sz w:val="20"/>
          <w:szCs w:val="20"/>
        </w:rPr>
        <w:t xml:space="preserve">Preparar a estrutura para a expansão nacional do Mason Connect em múltiplos núcleos estaduais.</w:t>
      </w: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2. Fundamento Conceitual — Os 12 Pilares</w:t>
      </w:r>
    </w:p>
    <w:p>
      <w:pPr>
        <w:spacing w:after="160" w:line="300"/>
        <w:jc w:val="both"/>
      </w:pPr>
      <w:r>
        <w:rPr>
          <w:rFonts w:ascii="Verdana" w:cs="Verdana" w:eastAsia="Verdana" w:hAnsi="Verdana"/>
          <w:color w:val="3A3A3A"/>
          <w:sz w:val="20"/>
          <w:szCs w:val="20"/>
        </w:rPr>
        <w:t xml:space="preserve">O Mason Connect opera sobre a metodologia proprietária dos 12 Pilares do Empresário Conector de Elite. O sistema não é apenas uma ferramenta administrativa: cada módulo materializa pilares da metodologia, transformando princípios relacionais em processos mensuráveis. A tabela abaixo apresenta o vínculo direto entre a metodologia e as funcionalidades do aplicativo.</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3200"/>
        <w:gridCol w:w="5826"/>
      </w:tblGrid>
      <w:tr>
        <w:trPr>
          <w:tblHeader/>
        </w:trPr>
        <w:tc>
          <w:tcPr>
            <w:tcW w:type="dxa" w:w="3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Pilar da metodologia</w:t>
            </w:r>
          </w:p>
        </w:tc>
        <w:tc>
          <w:tcPr>
            <w:tcW w:type="dxa" w:w="58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Como o sistema materializa</w:t>
            </w:r>
          </w:p>
        </w:tc>
      </w:tr>
      <w:tr>
        <w:tc>
          <w:tcPr>
            <w:tcW w:type="dxa" w:w="3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Capacidade de Gerar Confiança (P7)</w:t>
            </w:r>
          </w:p>
        </w:tc>
        <w:tc>
          <w:tcPr>
            <w:tcW w:type="dxa" w:w="5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Histórico transparente de indicações, negócios e presenças cria previsibilidade e reputação verificável entre os membros.</w:t>
            </w:r>
          </w:p>
        </w:tc>
      </w:tr>
      <w:tr>
        <w:tc>
          <w:tcPr>
            <w:tcW w:type="dxa" w:w="3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Disciplina Social (P9)</w:t>
            </w:r>
          </w:p>
        </w:tc>
        <w:tc>
          <w:tcPr>
            <w:tcW w:type="dxa" w:w="5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Registro de reuniões 1 a 1, acompanhamento de indicações e alertas de manutenção de vínculo evitam contatos mortos.</w:t>
            </w:r>
          </w:p>
        </w:tc>
      </w:tr>
      <w:tr>
        <w:tc>
          <w:tcPr>
            <w:tcW w:type="dxa" w:w="3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Visão Sistêmica de Negócios (P4)</w:t>
            </w:r>
          </w:p>
        </w:tc>
        <w:tc>
          <w:tcPr>
            <w:tcW w:type="dxa" w:w="5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Dashboards de segmentos, indicações cruzadas e funil de negócios revelam conexões e oportunidades do ecossistema.</w:t>
            </w:r>
          </w:p>
        </w:tc>
      </w:tr>
      <w:tr>
        <w:tc>
          <w:tcPr>
            <w:tcW w:type="dxa" w:w="3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Autoridade Natural (P6)</w:t>
            </w:r>
          </w:p>
        </w:tc>
        <w:tc>
          <w:tcPr>
            <w:tcW w:type="dxa" w:w="5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Ranking de membros destaque, baseado em contribuição real (indicações e negócios), reconhece coerência e entrega.</w:t>
            </w:r>
          </w:p>
        </w:tc>
      </w:tr>
      <w:tr>
        <w:tc>
          <w:tcPr>
            <w:tcW w:type="dxa" w:w="3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Mentalidade de Abundância (P11)</w:t>
            </w:r>
          </w:p>
        </w:tc>
        <w:tc>
          <w:tcPr>
            <w:tcW w:type="dxa" w:w="5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Métricas de valor gerado ao grupo (não apenas recebido) incentivam o compartilhamento de oportunidades.</w:t>
            </w:r>
          </w:p>
        </w:tc>
      </w:tr>
      <w:tr>
        <w:tc>
          <w:tcPr>
            <w:tcW w:type="dxa" w:w="3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Persuasão Ética (P3)</w:t>
            </w:r>
          </w:p>
        </w:tc>
        <w:tc>
          <w:tcPr>
            <w:tcW w:type="dxa" w:w="5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O fechamento de negócio exige confirmação formal de um membro, garantindo reciprocidade genuína e prova social documentada.</w:t>
            </w:r>
          </w:p>
        </w:tc>
      </w:tr>
      <w:tr>
        <w:tc>
          <w:tcPr>
            <w:tcW w:type="dxa" w:w="3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Propósito e Legado (P12)</w:t>
            </w:r>
          </w:p>
        </w:tc>
        <w:tc>
          <w:tcPr>
            <w:tcW w:type="dxa" w:w="5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Relatórios históricos consolidam a prosperidade coletiva gerada, construindo o legado institucional do grupo.</w:t>
            </w:r>
          </w:p>
        </w:tc>
      </w:tr>
    </w:tbl>
    <w:p>
      <w:pPr>
        <w:spacing w:after="200"/>
      </w:pP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3. Perfis de Usuário e Permissões</w:t>
      </w:r>
    </w:p>
    <w:p>
      <w:pPr>
        <w:spacing w:after="160" w:line="300"/>
        <w:jc w:val="both"/>
      </w:pPr>
      <w:r>
        <w:rPr>
          <w:rFonts w:ascii="Verdana" w:cs="Verdana" w:eastAsia="Verdana" w:hAnsi="Verdana"/>
          <w:color w:val="3A3A3A"/>
          <w:sz w:val="20"/>
          <w:szCs w:val="20"/>
        </w:rPr>
        <w:t xml:space="preserve">O sistema adota três perfis de acesso, alinhados às categorias de membro definidas pela gestão. Cada perfil enxerga apenas o que é pertinente à sua função, protegendo dados financeiros e decisões de gestão.</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700"/>
        <w:gridCol w:w="2200"/>
        <w:gridCol w:w="5126"/>
      </w:tblGrid>
      <w:tr>
        <w:trPr>
          <w:tblHeader/>
        </w:trPr>
        <w:tc>
          <w:tcPr>
            <w:tcW w:type="dxa" w:w="17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Perfil</w:t>
            </w:r>
          </w:p>
        </w:tc>
        <w:tc>
          <w:tcPr>
            <w:tcW w:type="dxa" w:w="2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Categoria</w:t>
            </w:r>
          </w:p>
        </w:tc>
        <w:tc>
          <w:tcPr>
            <w:tcW w:type="dxa" w:w="5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Permissões no sistema</w:t>
            </w:r>
          </w:p>
        </w:tc>
      </w:tr>
      <w:tr>
        <w:tc>
          <w:tcPr>
            <w:tcW w:type="dxa" w:w="1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Gestor</w:t>
            </w:r>
          </w:p>
        </w:tc>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Membro Gestor</w:t>
            </w:r>
          </w:p>
        </w:tc>
        <w:tc>
          <w:tcPr>
            <w:tcW w:type="dxa" w:w="5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Acesso total: aprova novos membros, edita planos e parâmetros, gerencia finanças, confirma negócios fechados, acessa todos os relatórios e dashboards.</w:t>
            </w:r>
          </w:p>
        </w:tc>
      </w:tr>
      <w:tr>
        <w:tc>
          <w:tcPr>
            <w:tcW w:type="dxa" w:w="1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Administrativo</w:t>
            </w:r>
          </w:p>
        </w:tc>
        <w:tc>
          <w:tcPr>
            <w:tcW w:type="dxa" w:w="2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Membro Administrativo</w:t>
            </w:r>
          </w:p>
        </w:tc>
        <w:tc>
          <w:tcPr>
            <w:tcW w:type="dxa" w:w="5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Opera o dia a dia: agenda reuniões, registra presenças, cadastra convidados, lança mensalidades e despesas, emite relatórios operacionais.</w:t>
            </w:r>
          </w:p>
        </w:tc>
      </w:tr>
      <w:tr>
        <w:tc>
          <w:tcPr>
            <w:tcW w:type="dxa" w:w="1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Empresário</w:t>
            </w:r>
          </w:p>
        </w:tc>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Membro Empresário</w:t>
            </w:r>
          </w:p>
        </w:tc>
        <w:tc>
          <w:tcPr>
            <w:tcW w:type="dxa" w:w="5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Visualiza a própria situação (mensalidades, presenças), registra indicações de negócios, acompanha seus negócios em andamento e consulta o diretório de membros e empresas.</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4. Regras de Negócio</w:t>
      </w:r>
    </w:p>
    <w:p>
      <w:pPr>
        <w:spacing w:after="160" w:line="300"/>
        <w:jc w:val="both"/>
      </w:pPr>
      <w:r>
        <w:rPr>
          <w:rFonts w:ascii="Verdana" w:cs="Verdana" w:eastAsia="Verdana" w:hAnsi="Verdana"/>
          <w:color w:val="3A3A3A"/>
          <w:sz w:val="20"/>
          <w:szCs w:val="20"/>
        </w:rPr>
        <w:t xml:space="preserve">As regras abaixo foram definidas pela gestão do Mason Connect e constituem requisitos obrigatórios. Todas as regras parametrizáveis (valores, limites, categorias) devem residir em tabelas de configuração editáveis pelo perfil Gestor — nunca fixadas em código.</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900"/>
        <w:gridCol w:w="3300"/>
        <w:gridCol w:w="4826"/>
      </w:tblGrid>
      <w:tr>
        <w:trPr>
          <w:tblHeader/>
        </w:trPr>
        <w:tc>
          <w:tcPr>
            <w:tcW w:type="dxa" w:w="9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Nº</w:t>
            </w:r>
          </w:p>
        </w:tc>
        <w:tc>
          <w:tcPr>
            <w:tcW w:type="dxa" w:w="33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Regra definida</w:t>
            </w:r>
          </w:p>
        </w:tc>
        <w:tc>
          <w:tcPr>
            <w:tcW w:type="dxa" w:w="48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Implementação no sistema</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RN-01</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Somente Maçons devidamente registrados podem ser membros.</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Cadastro exige CIM, Potência e Loja. Campos obrigatórios com validação de preenchimento.</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RN-02</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 aprovação de novos membros cabe ao Membro Gestor.</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Novo cadastro entra com status Pendente; apenas o perfil Gestor pode ativá-lo.</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RN-03</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Categorias de membro: Gestor, Administrativo e Empresário.</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Campo categoria vinculado ao perfil de acesso do usuário.</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RN-04</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Não existem visitantes; existem convidados cadastrados.</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Convidado é sempre vinculado a uma reunião específica e a um membro anfitrião.</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RN-05</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Suplente é permitido, desde que seja Maçom.</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Flag Suplente no cadastro, sujeita à mesma validação de CIM (RN-01).</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RN-06</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Planos: Gratuito (R$ 0,00), Mensal (R$ 130,00) e Anual (R$ 1.248,00).</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Tabela de planos parametrizável pelo Gestor; alteração de valor não exige mudança de código.</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RN-07</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Não há regra de atraso nem multa sobre mensalidades.</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Mensalidade vencida apenas muda de status para Em atraso e aparece nos relatórios; nenhuma cobrança adicional é gerada.</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RN-08</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Faltas são permitidas; o limite é de 3 reuniões consecutivas.</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Contador automático de faltas consecutivas; alerta ao Gestor na 2ª falta e sinalização crítica na 3ª.</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RN-09</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Comissão: sim e não (a definir por caso).</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Campo opcional de comissão por negócio fechado, habilitável pelo Gestor conforme a política vigente.</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RN-10</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Todos os membros podem indicar negócios.</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Funcionalidade de indicação disponível aos três perfis.</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RN-11</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O crédito da indicação pertence ao membro indicador.</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Toda indicação registra o indicador; rankings e dashboards creditam o valor gerado a ele.</w:t>
            </w:r>
          </w:p>
        </w:tc>
      </w:tr>
      <w:tr>
        <w:tc>
          <w:tcPr>
            <w:tcW w:type="dxa" w:w="9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RN-12</w:t>
            </w:r>
          </w:p>
        </w:tc>
        <w:tc>
          <w:tcPr>
            <w:tcW w:type="dxa" w:w="3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Negócio fechado registra: membro indicador, trabalho realizado e valor em R$.</w:t>
            </w:r>
          </w:p>
        </w:tc>
        <w:tc>
          <w:tcPr>
            <w:tcW w:type="dxa" w:w="48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Formulário de fechamento com os três campos obrigatórios.</w:t>
            </w:r>
          </w:p>
        </w:tc>
      </w:tr>
      <w:tr>
        <w:tc>
          <w:tcPr>
            <w:tcW w:type="dxa" w:w="9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RN-13</w:t>
            </w:r>
          </w:p>
        </w:tc>
        <w:tc>
          <w:tcPr>
            <w:tcW w:type="dxa" w:w="3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Um negócio é considerado fechado quando um membro dá o OK.</w:t>
            </w:r>
          </w:p>
        </w:tc>
        <w:tc>
          <w:tcPr>
            <w:tcW w:type="dxa" w:w="48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Botão Confirmar Fechamento registra data, hora e o membro que confirmou, gerando trilha de auditoria.</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5. Arquitetura Modular</w:t>
      </w:r>
    </w:p>
    <w:p>
      <w:pPr>
        <w:spacing w:after="160" w:line="300"/>
        <w:jc w:val="both"/>
      </w:pPr>
      <w:r>
        <w:rPr>
          <w:rFonts w:ascii="Verdana" w:cs="Verdana" w:eastAsia="Verdana" w:hAnsi="Verdana"/>
          <w:color w:val="3A3A3A"/>
          <w:sz w:val="20"/>
          <w:szCs w:val="20"/>
        </w:rPr>
        <w:t xml:space="preserve">O sistema é organizado em quatro módulos independentes que se comunicam por meio de um núcleo de dados comum. Essa separação garante que alterações em um módulo (por exemplo, novos valores de plano) não afetem os demais, atendendo diretamente à diretriz de facilidade de alteração.</w:t>
      </w:r>
    </w:p>
    <w:p>
      <w:pPr>
        <w:pStyle w:val="Heading2"/>
        <w:spacing w:after="140" w:before="280"/>
      </w:pPr>
      <w:r>
        <w:rPr>
          <w:rFonts w:ascii="Trebuchet MS" w:cs="Trebuchet MS" w:eastAsia="Trebuchet MS" w:hAnsi="Trebuchet MS"/>
          <w:b/>
          <w:bCs/>
          <w:color w:val="855023"/>
          <w:sz w:val="24"/>
          <w:szCs w:val="24"/>
        </w:rPr>
        <w:t xml:space="preserve">5.1 Módulo de Cadastros (núcleo)</w:t>
      </w:r>
    </w:p>
    <w:p>
      <w:pPr>
        <w:spacing w:after="160" w:line="300"/>
        <w:jc w:val="both"/>
      </w:pPr>
      <w:r>
        <w:rPr>
          <w:rFonts w:ascii="Verdana" w:cs="Verdana" w:eastAsia="Verdana" w:hAnsi="Verdana"/>
          <w:color w:val="3A3A3A"/>
          <w:sz w:val="20"/>
          <w:szCs w:val="20"/>
        </w:rPr>
        <w:t xml:space="preserve">Gerencia membros (com categorias, CIM, Loja e Potência), empresas vinculadas (razão social, CNPJ, segmento de atuação), convidados e suplentes. É a fonte única de verdade sobre quem participa do ecossistema.</w:t>
      </w:r>
    </w:p>
    <w:p>
      <w:pPr>
        <w:pStyle w:val="Heading2"/>
        <w:spacing w:after="140" w:before="280"/>
      </w:pPr>
      <w:r>
        <w:rPr>
          <w:rFonts w:ascii="Trebuchet MS" w:cs="Trebuchet MS" w:eastAsia="Trebuchet MS" w:hAnsi="Trebuchet MS"/>
          <w:b/>
          <w:bCs/>
          <w:color w:val="855023"/>
          <w:sz w:val="24"/>
          <w:szCs w:val="24"/>
        </w:rPr>
        <w:t xml:space="preserve">5.2 Módulo de Operação de Reuniões</w:t>
      </w:r>
    </w:p>
    <w:p>
      <w:pPr>
        <w:spacing w:after="160" w:line="300"/>
        <w:jc w:val="both"/>
      </w:pPr>
      <w:r>
        <w:rPr>
          <w:rFonts w:ascii="Verdana" w:cs="Verdana" w:eastAsia="Verdana" w:hAnsi="Verdana"/>
          <w:color w:val="3A3A3A"/>
          <w:sz w:val="20"/>
          <w:szCs w:val="20"/>
        </w:rPr>
        <w:t xml:space="preserve">Controla o agendamento das reuniões (semanais, treinamentos, coworking mensal), o registro de presenças e faltas, o cadastro de convidados por reunião, as indicações de negócios e o acompanhamento do funil: indicação → negócio em andamento → negócio fechado.</w:t>
      </w:r>
    </w:p>
    <w:p>
      <w:pPr>
        <w:pStyle w:val="Heading2"/>
        <w:spacing w:after="140" w:before="280"/>
      </w:pPr>
      <w:r>
        <w:rPr>
          <w:rFonts w:ascii="Trebuchet MS" w:cs="Trebuchet MS" w:eastAsia="Trebuchet MS" w:hAnsi="Trebuchet MS"/>
          <w:b/>
          <w:bCs/>
          <w:color w:val="855023"/>
          <w:sz w:val="24"/>
          <w:szCs w:val="24"/>
        </w:rPr>
        <w:t xml:space="preserve">5.3 Módulo Financeiro do Grupo</w:t>
      </w:r>
    </w:p>
    <w:p>
      <w:pPr>
        <w:spacing w:after="160" w:line="300"/>
        <w:jc w:val="both"/>
      </w:pPr>
      <w:r>
        <w:rPr>
          <w:rFonts w:ascii="Verdana" w:cs="Verdana" w:eastAsia="Verdana" w:hAnsi="Verdana"/>
          <w:color w:val="3A3A3A"/>
          <w:sz w:val="20"/>
          <w:szCs w:val="20"/>
        </w:rPr>
        <w:t xml:space="preserve">Administra mensalidades por plano, registro de pagamentos, controle de coffee breaks e o livro de despesas e receitas da gestão. Todo pagamento de mensalidade gera automaticamente um lançamento de receita, mantendo o caixa sempre sincronizado.</w:t>
      </w:r>
    </w:p>
    <w:p>
      <w:pPr>
        <w:pStyle w:val="Heading2"/>
        <w:spacing w:after="140" w:before="280"/>
      </w:pPr>
      <w:r>
        <w:rPr>
          <w:rFonts w:ascii="Trebuchet MS" w:cs="Trebuchet MS" w:eastAsia="Trebuchet MS" w:hAnsi="Trebuchet MS"/>
          <w:b/>
          <w:bCs/>
          <w:color w:val="855023"/>
          <w:sz w:val="24"/>
          <w:szCs w:val="24"/>
        </w:rPr>
        <w:t xml:space="preserve">5.4 Módulo de Relatórios e Dashboards</w:t>
      </w:r>
    </w:p>
    <w:p>
      <w:pPr>
        <w:spacing w:after="160" w:line="300"/>
        <w:jc w:val="both"/>
      </w:pPr>
      <w:r>
        <w:rPr>
          <w:rFonts w:ascii="Verdana" w:cs="Verdana" w:eastAsia="Verdana" w:hAnsi="Verdana"/>
          <w:color w:val="3A3A3A"/>
          <w:sz w:val="20"/>
          <w:szCs w:val="20"/>
        </w:rPr>
        <w:t xml:space="preserve">Consome os dados dos módulos anteriores e os transforma em relatórios operacionais e dashboards executivos, sem permitir edição de dados — garantindo integridade da informação apresentada.</w:t>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6. Modelo de Dados</w:t>
      </w:r>
    </w:p>
    <w:p>
      <w:pPr>
        <w:spacing w:after="160" w:line="300"/>
        <w:jc w:val="both"/>
      </w:pPr>
      <w:r>
        <w:rPr>
          <w:rFonts w:ascii="Verdana" w:cs="Verdana" w:eastAsia="Verdana" w:hAnsi="Verdana"/>
          <w:color w:val="3A3A3A"/>
          <w:sz w:val="20"/>
          <w:szCs w:val="20"/>
        </w:rPr>
        <w:t xml:space="preserve">O modelo de dados foi desenhado com três decisões estruturais: (1) todo negócio nasce de uma indicação, garantindo o crédito ao indicador; (2) toda mensalidade paga gera automaticamente um lançamento financeiro; (3) o cadastro de membro carrega os campos de validação maçônica exigidos pelas regras de admissão.</w:t>
      </w:r>
    </w:p>
    <w:p>
      <w:pPr>
        <w:pStyle w:val="Heading2"/>
        <w:spacing w:after="140" w:before="280"/>
      </w:pPr>
      <w:r>
        <w:rPr>
          <w:rFonts w:ascii="Trebuchet MS" w:cs="Trebuchet MS" w:eastAsia="Trebuchet MS" w:hAnsi="Trebuchet MS"/>
          <w:b/>
          <w:bCs/>
          <w:color w:val="855023"/>
          <w:sz w:val="24"/>
          <w:szCs w:val="24"/>
        </w:rPr>
        <w:t xml:space="preserve">6.1 Entidades principais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800"/>
        <w:gridCol w:w="2700"/>
        <w:gridCol w:w="4526"/>
      </w:tblGrid>
      <w:tr>
        <w:trPr>
          <w:tblHeader/>
        </w:trPr>
        <w:tc>
          <w:tcPr>
            <w:tcW w:type="dxa" w:w="1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Entidade</w:t>
            </w:r>
          </w:p>
        </w:tc>
        <w:tc>
          <w:tcPr>
            <w:tcW w:type="dxa" w:w="27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Finalidade</w:t>
            </w:r>
          </w:p>
        </w:tc>
        <w:tc>
          <w:tcPr>
            <w:tcW w:type="dxa" w:w="45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Campos principais</w:t>
            </w:r>
          </w:p>
        </w:tc>
      </w:tr>
      <w:tr>
        <w:tc>
          <w:tcPr>
            <w:tcW w:type="dxa" w:w="1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MEMBROS</w:t>
            </w:r>
          </w:p>
        </w:tc>
        <w:tc>
          <w:tcPr>
            <w:tcW w:type="dxa" w:w="2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Cadastro central dos participantes</w:t>
            </w:r>
          </w:p>
        </w:tc>
        <w:tc>
          <w:tcPr>
            <w:tcW w:type="dxa" w:w="4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nome, CIM, Loja, Potência, categoria, empresa_id, plano_id, suplente (S/N), status, data de admissão</w:t>
            </w:r>
          </w:p>
        </w:tc>
      </w:tr>
      <w:tr>
        <w:tc>
          <w:tcPr>
            <w:tcW w:type="dxa" w:w="1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EMPRESAS</w:t>
            </w:r>
          </w:p>
        </w:tc>
        <w:tc>
          <w:tcPr>
            <w:tcW w:type="dxa" w:w="2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Empresas representadas pelos membros</w:t>
            </w:r>
          </w:p>
        </w:tc>
        <w:tc>
          <w:tcPr>
            <w:tcW w:type="dxa" w:w="4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razão social, nome fantasia, CNPJ, segmento, cidade, contato</w:t>
            </w:r>
          </w:p>
        </w:tc>
      </w:tr>
      <w:tr>
        <w:tc>
          <w:tcPr>
            <w:tcW w:type="dxa" w:w="1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PLANOS</w:t>
            </w:r>
          </w:p>
        </w:tc>
        <w:tc>
          <w:tcPr>
            <w:tcW w:type="dxa" w:w="2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Parametrização das mensalidades</w:t>
            </w:r>
          </w:p>
        </w:tc>
        <w:tc>
          <w:tcPr>
            <w:tcW w:type="dxa" w:w="4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nome, valor, periodicidade, ativo</w:t>
            </w:r>
          </w:p>
        </w:tc>
      </w:tr>
      <w:tr>
        <w:tc>
          <w:tcPr>
            <w:tcW w:type="dxa" w:w="1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REUNIOES</w:t>
            </w:r>
          </w:p>
        </w:tc>
        <w:tc>
          <w:tcPr>
            <w:tcW w:type="dxa" w:w="2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Agenda de encontros do grupo</w:t>
            </w:r>
          </w:p>
        </w:tc>
        <w:tc>
          <w:tcPr>
            <w:tcW w:type="dxa" w:w="4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data, tipo (semanal, treinamento, coworking), local, pauta, status</w:t>
            </w:r>
          </w:p>
        </w:tc>
      </w:tr>
      <w:tr>
        <w:tc>
          <w:tcPr>
            <w:tcW w:type="dxa" w:w="1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PRESENCAS</w:t>
            </w:r>
          </w:p>
        </w:tc>
        <w:tc>
          <w:tcPr>
            <w:tcW w:type="dxa" w:w="2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Registro de presença por reunião</w:t>
            </w:r>
          </w:p>
        </w:tc>
        <w:tc>
          <w:tcPr>
            <w:tcW w:type="dxa" w:w="4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membro_id, reuniao_id, status (presente, falta, justificada, suplente)</w:t>
            </w:r>
          </w:p>
        </w:tc>
      </w:tr>
      <w:tr>
        <w:tc>
          <w:tcPr>
            <w:tcW w:type="dxa" w:w="1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CONVIDADOS</w:t>
            </w:r>
          </w:p>
        </w:tc>
        <w:tc>
          <w:tcPr>
            <w:tcW w:type="dxa" w:w="2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Convidados vinculados a reuniões</w:t>
            </w:r>
          </w:p>
        </w:tc>
        <w:tc>
          <w:tcPr>
            <w:tcW w:type="dxa" w:w="4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reuniao_id, membro_anfitrião, nome, empresa, contato, compareceu (S/N)</w:t>
            </w:r>
          </w:p>
        </w:tc>
      </w:tr>
      <w:tr>
        <w:tc>
          <w:tcPr>
            <w:tcW w:type="dxa" w:w="1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INDICACOES</w:t>
            </w:r>
          </w:p>
        </w:tc>
        <w:tc>
          <w:tcPr>
            <w:tcW w:type="dxa" w:w="2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Indicações de negócios entre membros</w:t>
            </w:r>
          </w:p>
        </w:tc>
        <w:tc>
          <w:tcPr>
            <w:tcW w:type="dxa" w:w="4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membro_indicador, membro_indicado, empresa_destino, descrição, data, status</w:t>
            </w:r>
          </w:p>
        </w:tc>
      </w:tr>
      <w:tr>
        <w:tc>
          <w:tcPr>
            <w:tcW w:type="dxa" w:w="1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NEGOCIOS</w:t>
            </w:r>
          </w:p>
        </w:tc>
        <w:tc>
          <w:tcPr>
            <w:tcW w:type="dxa" w:w="2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Negócios em andamento e fechados</w:t>
            </w:r>
          </w:p>
        </w:tc>
        <w:tc>
          <w:tcPr>
            <w:tcW w:type="dxa" w:w="4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indicacao_id, trabalho realizado, valor (R$), status (em andamento, fechado, perdido), membro_confirmou, data de fechamento</w:t>
            </w:r>
          </w:p>
        </w:tc>
      </w:tr>
      <w:tr>
        <w:tc>
          <w:tcPr>
            <w:tcW w:type="dxa" w:w="1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MENSALIDADES</w:t>
            </w:r>
          </w:p>
        </w:tc>
        <w:tc>
          <w:tcPr>
            <w:tcW w:type="dxa" w:w="27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Cobranças por competência</w:t>
            </w:r>
          </w:p>
        </w:tc>
        <w:tc>
          <w:tcPr>
            <w:tcW w:type="dxa" w:w="4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membro_id, competência (mês/ano), valor, vencimento, status (aberta, paga, em atraso), data de pagamento</w:t>
            </w:r>
          </w:p>
        </w:tc>
      </w:tr>
      <w:tr>
        <w:tc>
          <w:tcPr>
            <w:tcW w:type="dxa" w:w="1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LANCAMENTOS</w:t>
            </w:r>
          </w:p>
        </w:tc>
        <w:tc>
          <w:tcPr>
            <w:tcW w:type="dxa" w:w="27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Livro caixa do grupo</w:t>
            </w:r>
          </w:p>
        </w:tc>
        <w:tc>
          <w:tcPr>
            <w:tcW w:type="dxa" w:w="4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id, tipo (receita, despesa), categoria (mensalidade, coffee break, evento, outros), descrição, valor, data, reuniao_id (opcional)</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6.2 Relacionamentos-chave</w:t>
      </w:r>
    </w:p>
    <w:p>
      <w:pPr>
        <w:pStyle w:val="ListParagraph"/>
        <w:numPr>
          <w:ilvl w:val="0"/>
          <w:numId w:val="2"/>
        </w:numPr>
        <w:spacing w:after="80" w:line="280"/>
      </w:pPr>
      <w:r>
        <w:rPr>
          <w:rFonts w:ascii="Verdana" w:cs="Verdana" w:eastAsia="Verdana" w:hAnsi="Verdana"/>
          <w:color w:val="3A3A3A"/>
          <w:sz w:val="20"/>
          <w:szCs w:val="20"/>
        </w:rPr>
        <w:t xml:space="preserve">Um PLANO possui vários MEMBROS; um MEMBRO representa uma EMPRESA.</w:t>
      </w:r>
    </w:p>
    <w:p>
      <w:pPr>
        <w:pStyle w:val="ListParagraph"/>
        <w:numPr>
          <w:ilvl w:val="0"/>
          <w:numId w:val="2"/>
        </w:numPr>
        <w:spacing w:after="80" w:line="280"/>
      </w:pPr>
      <w:r>
        <w:rPr>
          <w:rFonts w:ascii="Verdana" w:cs="Verdana" w:eastAsia="Verdana" w:hAnsi="Verdana"/>
          <w:color w:val="3A3A3A"/>
          <w:sz w:val="20"/>
          <w:szCs w:val="20"/>
        </w:rPr>
        <w:t xml:space="preserve">Uma REUNIÃO possui várias PRESENÇAS e vários CONVIDADOS.</w:t>
      </w:r>
    </w:p>
    <w:p>
      <w:pPr>
        <w:pStyle w:val="ListParagraph"/>
        <w:numPr>
          <w:ilvl w:val="0"/>
          <w:numId w:val="2"/>
        </w:numPr>
        <w:spacing w:after="80" w:line="280"/>
      </w:pPr>
      <w:r>
        <w:rPr>
          <w:rFonts w:ascii="Verdana" w:cs="Verdana" w:eastAsia="Verdana" w:hAnsi="Verdana"/>
          <w:color w:val="3A3A3A"/>
          <w:sz w:val="20"/>
          <w:szCs w:val="20"/>
        </w:rPr>
        <w:t xml:space="preserve">Um MEMBRO registra várias INDICAÇÕES; cada INDICAÇÃO pode gerar um NEGÓCIO.</w:t>
      </w:r>
    </w:p>
    <w:p>
      <w:pPr>
        <w:pStyle w:val="ListParagraph"/>
        <w:numPr>
          <w:ilvl w:val="0"/>
          <w:numId w:val="2"/>
        </w:numPr>
        <w:spacing w:after="80" w:line="280"/>
      </w:pPr>
      <w:r>
        <w:rPr>
          <w:rFonts w:ascii="Verdana" w:cs="Verdana" w:eastAsia="Verdana" w:hAnsi="Verdana"/>
          <w:color w:val="3A3A3A"/>
          <w:sz w:val="20"/>
          <w:szCs w:val="20"/>
        </w:rPr>
        <w:t xml:space="preserve">Um MEMBRO possui várias MENSALIDADES; cada MENSALIDADE paga gera um LANÇAMENTO de receita.</w:t>
      </w:r>
    </w:p>
    <w:p>
      <w:pPr>
        <w:pStyle w:val="ListParagraph"/>
        <w:numPr>
          <w:ilvl w:val="0"/>
          <w:numId w:val="2"/>
        </w:numPr>
        <w:spacing w:after="80" w:line="280"/>
      </w:pPr>
      <w:r>
        <w:rPr>
          <w:rFonts w:ascii="Verdana" w:cs="Verdana" w:eastAsia="Verdana" w:hAnsi="Verdana"/>
          <w:color w:val="3A3A3A"/>
          <w:sz w:val="20"/>
          <w:szCs w:val="20"/>
        </w:rPr>
        <w:t xml:space="preserve">Uma REUNIÃO pode custear LANÇAMENTOS de despesa (ex.: coffee break).</w:t>
      </w: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7. Especificação Funcional</w:t>
      </w:r>
    </w:p>
    <w:p>
      <w:pPr>
        <w:spacing w:after="160" w:line="300"/>
        <w:jc w:val="both"/>
      </w:pPr>
      <w:r>
        <w:rPr>
          <w:rFonts w:ascii="Verdana" w:cs="Verdana" w:eastAsia="Verdana" w:hAnsi="Verdana"/>
          <w:color w:val="3A3A3A"/>
          <w:sz w:val="20"/>
          <w:szCs w:val="20"/>
        </w:rPr>
        <w:t xml:space="preserve">Os requisitos funcionais estão codificados para rastreabilidade durante o desenvolvimento e os testes de aceitação. Prioridades: E (essencial para o MVP), I (importante) e D (desejável).</w:t>
      </w:r>
    </w:p>
    <w:p>
      <w:pPr>
        <w:pStyle w:val="Heading2"/>
        <w:spacing w:after="140" w:before="280"/>
      </w:pPr>
      <w:r>
        <w:rPr>
          <w:rFonts w:ascii="Trebuchet MS" w:cs="Trebuchet MS" w:eastAsia="Trebuchet MS" w:hAnsi="Trebuchet MS"/>
          <w:b/>
          <w:bCs/>
          <w:color w:val="855023"/>
          <w:sz w:val="24"/>
          <w:szCs w:val="24"/>
        </w:rPr>
        <w:t xml:space="preserve">7.1 Cadastros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100"/>
        <w:gridCol w:w="7126"/>
        <w:gridCol w:w="800"/>
      </w:tblGrid>
      <w:tr>
        <w:trPr>
          <w:tblHeader/>
        </w:trPr>
        <w:tc>
          <w:tcPr>
            <w:tcW w:type="dxa" w:w="11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Código</w:t>
            </w:r>
          </w:p>
        </w:tc>
        <w:tc>
          <w:tcPr>
            <w:tcW w:type="dxa" w:w="7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Requisito</w:t>
            </w:r>
          </w:p>
        </w:tc>
        <w:tc>
          <w:tcPr>
            <w:tcW w:type="dxa" w:w="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Pri.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RF-01</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Cadastrar, editar e inativar membros com validação de CIM, Loja e Potência obrigatórios.</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RF-02</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Fluxo de aprovação: novo membro entra como Pendente e só é ativado pelo Gestor.</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RF-03</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Cadastrar empresas e vincular cada membro à sua empresa.</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RF-04</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Cadastrar convidados vinculados a reunião e membro anfitrião.</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RF-05</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Marcar membro como suplente, sujeito às mesmas validações maçônicas.</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RF-06</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Diretório de membros e empresas consultável por todos os perfis.</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7.2 Reuniões e presenças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100"/>
        <w:gridCol w:w="7126"/>
        <w:gridCol w:w="800"/>
      </w:tblGrid>
      <w:tr>
        <w:trPr>
          <w:tblHeader/>
        </w:trPr>
        <w:tc>
          <w:tcPr>
            <w:tcW w:type="dxa" w:w="11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Código</w:t>
            </w:r>
          </w:p>
        </w:tc>
        <w:tc>
          <w:tcPr>
            <w:tcW w:type="dxa" w:w="7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Requisito</w:t>
            </w:r>
          </w:p>
        </w:tc>
        <w:tc>
          <w:tcPr>
            <w:tcW w:type="dxa" w:w="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Pri.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RF-07</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Agendar reuniões com data, tipo, local e pauta; permitir recorrência semanal.</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RF-08</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Registrar presença, falta, falta justificada ou substituição por suplente.</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RF-09</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Contar faltas consecutivas automaticamente e alertar o Gestor na 2ª e 3ª faltas.</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RF-10</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Listar convidados esperados e confirmar comparecimento na reunião.</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RF-11</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Registrar reuniões 1 a 1 entre membros (manutenção de vínculo — Pilar 9).</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7.3 Indicações e negócios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100"/>
        <w:gridCol w:w="7126"/>
        <w:gridCol w:w="800"/>
      </w:tblGrid>
      <w:tr>
        <w:trPr>
          <w:tblHeader/>
        </w:trPr>
        <w:tc>
          <w:tcPr>
            <w:tcW w:type="dxa" w:w="11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Código</w:t>
            </w:r>
          </w:p>
        </w:tc>
        <w:tc>
          <w:tcPr>
            <w:tcW w:type="dxa" w:w="7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Requisito</w:t>
            </w:r>
          </w:p>
        </w:tc>
        <w:tc>
          <w:tcPr>
            <w:tcW w:type="dxa" w:w="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Pri.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RF-12</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Registrar indicação de negócio com indicador, indicado/empresa destino e descrição.</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RF-13</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Converter indicação em negócio em andamento e acompanhar seu status.</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RF-14</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Confirmar fechamento de negócio com trabalho realizado, valor em R$ e membro que confirmou (OK).</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RF-15</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Registrar negócio perdido com motivo, preservando o histórico do funil.</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RF-16</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Campo opcional de comissão por negócio, habilitável pelo Gestor (RN-09).</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7.4 Financeiro</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1100"/>
        <w:gridCol w:w="7126"/>
        <w:gridCol w:w="800"/>
      </w:tblGrid>
      <w:tr>
        <w:trPr>
          <w:tblHeader/>
        </w:trPr>
        <w:tc>
          <w:tcPr>
            <w:tcW w:type="dxa" w:w="11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Código</w:t>
            </w:r>
          </w:p>
        </w:tc>
        <w:tc>
          <w:tcPr>
            <w:tcW w:type="dxa" w:w="7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Requisito</w:t>
            </w:r>
          </w:p>
        </w:tc>
        <w:tc>
          <w:tcPr>
            <w:tcW w:type="dxa" w:w="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Pri.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RF-17</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Gerar mensalidades por competência conforme o plano de cada membro.</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RF-18</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Registrar pagamento de mensalidade, gerando lançamento de receita automático.</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RF-19</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Lançar despesas e receitas avulsas com categoria (coffee break, evento, outros).</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RF-20</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Vincular despesas de coffee break à reunião correspondente.</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r>
        <w:tc>
          <w:tcPr>
            <w:tcW w:type="dxa" w:w="1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RF-21</w:t>
            </w:r>
          </w:p>
        </w:tc>
        <w:tc>
          <w:tcPr>
            <w:tcW w:type="dxa" w:w="7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Editar planos e valores de mensalidade sem intervenção técnica (perfil Gestor).</w:t>
            </w:r>
          </w:p>
        </w:tc>
        <w:tc>
          <w:tcPr>
            <w:tcW w:type="dxa" w:w="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w:t>
            </w:r>
          </w:p>
        </w:tc>
      </w:tr>
      <w:tr>
        <w:tc>
          <w:tcPr>
            <w:tcW w:type="dxa" w:w="1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RF-22</w:t>
            </w:r>
          </w:p>
        </w:tc>
        <w:tc>
          <w:tcPr>
            <w:tcW w:type="dxa" w:w="7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Consultar extrato do caixa do grupo por período e categoria.</w:t>
            </w:r>
          </w:p>
        </w:tc>
        <w:tc>
          <w:tcPr>
            <w:tcW w:type="dxa" w:w="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8. Relatórios e Dashboards</w:t>
      </w:r>
    </w:p>
    <w:p>
      <w:pPr>
        <w:pStyle w:val="Heading2"/>
        <w:spacing w:after="140" w:before="280"/>
      </w:pPr>
      <w:r>
        <w:rPr>
          <w:rFonts w:ascii="Trebuchet MS" w:cs="Trebuchet MS" w:eastAsia="Trebuchet MS" w:hAnsi="Trebuchet MS"/>
          <w:b/>
          <w:bCs/>
          <w:color w:val="855023"/>
          <w:sz w:val="24"/>
          <w:szCs w:val="24"/>
        </w:rPr>
        <w:t xml:space="preserve">8.1 Relatórios operacionais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2200"/>
        <w:gridCol w:w="4626"/>
        <w:gridCol w:w="2200"/>
      </w:tblGrid>
      <w:tr>
        <w:trPr>
          <w:tblHeader/>
        </w:trPr>
        <w:tc>
          <w:tcPr>
            <w:tcW w:type="dxa" w:w="2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Relatório</w:t>
            </w:r>
          </w:p>
        </w:tc>
        <w:tc>
          <w:tcPr>
            <w:tcW w:type="dxa" w:w="46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Conteúdo</w:t>
            </w:r>
          </w:p>
        </w:tc>
        <w:tc>
          <w:tcPr>
            <w:tcW w:type="dxa" w:w="2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Filtros</w:t>
            </w:r>
          </w:p>
        </w:tc>
      </w:tr>
      <w:tr>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Presença de membros</w:t>
            </w:r>
          </w:p>
        </w:tc>
        <w:tc>
          <w:tcPr>
            <w:tcW w:type="dxa" w:w="46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Percentual de presença por membro, faltas consecutivas, justificativas e substituições por suplente.</w:t>
            </w:r>
          </w:p>
        </w:tc>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Período, membro, tipo de reunião</w:t>
            </w:r>
          </w:p>
        </w:tc>
      </w:tr>
      <w:tr>
        <w:tc>
          <w:tcPr>
            <w:tcW w:type="dxa" w:w="2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Indicações de negócios</w:t>
            </w:r>
          </w:p>
        </w:tc>
        <w:tc>
          <w:tcPr>
            <w:tcW w:type="dxa" w:w="46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Indicações por membro indicador, status de cada indicação e taxa de conversão em negócio.</w:t>
            </w:r>
          </w:p>
        </w:tc>
        <w:tc>
          <w:tcPr>
            <w:tcW w:type="dxa" w:w="2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Período, indicador, status</w:t>
            </w:r>
          </w:p>
        </w:tc>
      </w:tr>
      <w:tr>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Negócios fechados</w:t>
            </w:r>
          </w:p>
        </w:tc>
        <w:tc>
          <w:tcPr>
            <w:tcW w:type="dxa" w:w="46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Negócios com indicador, trabalho realizado, valor em R$, quem confirmou e data de fechamento.</w:t>
            </w:r>
          </w:p>
        </w:tc>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Período, membro, faixa de valor</w:t>
            </w:r>
          </w:p>
        </w:tc>
      </w:tr>
      <w:tr>
        <w:tc>
          <w:tcPr>
            <w:tcW w:type="dxa" w:w="2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Despesas e receitas da gestão</w:t>
            </w:r>
          </w:p>
        </w:tc>
        <w:tc>
          <w:tcPr>
            <w:tcW w:type="dxa" w:w="46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Extrato completo do caixa com totais por categoria e resultado do período.</w:t>
            </w:r>
          </w:p>
        </w:tc>
        <w:tc>
          <w:tcPr>
            <w:tcW w:type="dxa" w:w="2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Período, tipo, categoria</w:t>
            </w:r>
          </w:p>
        </w:tc>
      </w:tr>
      <w:tr>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Situação de mensalidades</w:t>
            </w:r>
          </w:p>
        </w:tc>
        <w:tc>
          <w:tcPr>
            <w:tcW w:type="dxa" w:w="46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Mensalidades abertas, pagas e em atraso por membro e competência.</w:t>
            </w:r>
          </w:p>
        </w:tc>
        <w:tc>
          <w:tcPr>
            <w:tcW w:type="dxa" w:w="2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Competência, status, plano</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8.2 Dashboards executivos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2600"/>
        <w:gridCol w:w="6426"/>
      </w:tblGrid>
      <w:tr>
        <w:trPr>
          <w:tblHeader/>
        </w:trPr>
        <w:tc>
          <w:tcPr>
            <w:tcW w:type="dxa" w:w="26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Dashboard</w:t>
            </w:r>
          </w:p>
        </w:tc>
        <w:tc>
          <w:tcPr>
            <w:tcW w:type="dxa" w:w="64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Indicadores exibidos</w:t>
            </w:r>
          </w:p>
        </w:tc>
      </w:tr>
      <w:tr>
        <w:tc>
          <w:tcPr>
            <w:tcW w:type="dxa" w:w="26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Negócios fechados</w:t>
            </w:r>
          </w:p>
        </w:tc>
        <w:tc>
          <w:tcPr>
            <w:tcW w:type="dxa" w:w="64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Valor total gerado no período, evolução mensal, ranking de indicadores, ticket médio e taxa de conversão indicação → fechamento.</w:t>
            </w:r>
          </w:p>
        </w:tc>
      </w:tr>
      <w:tr>
        <w:tc>
          <w:tcPr>
            <w:tcW w:type="dxa" w:w="26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Despesas e receitas do grupo</w:t>
            </w:r>
          </w:p>
        </w:tc>
        <w:tc>
          <w:tcPr>
            <w:tcW w:type="dxa" w:w="64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Receita total, despesa total, resultado do período, evolução do saldo e composição por categoria.</w:t>
            </w:r>
          </w:p>
        </w:tc>
      </w:tr>
      <w:tr>
        <w:tc>
          <w:tcPr>
            <w:tcW w:type="dxa" w:w="26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Indicação de negócios</w:t>
            </w:r>
          </w:p>
        </w:tc>
        <w:tc>
          <w:tcPr>
            <w:tcW w:type="dxa" w:w="64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Volume de indicações por mês, membros mais ativos, mapa de indicações entre segmentos e funil completo (indicado → andamento → fechado).</w:t>
            </w:r>
          </w:p>
        </w:tc>
      </w:tr>
      <w:tr>
        <w:tc>
          <w:tcPr>
            <w:tcW w:type="dxa" w:w="26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Engajamento (visão Gestor)</w:t>
            </w:r>
          </w:p>
        </w:tc>
        <w:tc>
          <w:tcPr>
            <w:tcW w:type="dxa" w:w="64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Presença média do grupo, membros em alerta de faltas, convidados recebidos e reuniões 1 a 1 realizadas.</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9. Requisitos Não Funcionais e Stack</w:t>
      </w:r>
    </w:p>
    <w:p>
      <w:pPr>
        <w:pStyle w:val="Heading2"/>
        <w:spacing w:after="140" w:before="280"/>
      </w:pPr>
      <w:r>
        <w:rPr>
          <w:rFonts w:ascii="Trebuchet MS" w:cs="Trebuchet MS" w:eastAsia="Trebuchet MS" w:hAnsi="Trebuchet MS"/>
          <w:b/>
          <w:bCs/>
          <w:color w:val="855023"/>
          <w:sz w:val="24"/>
          <w:szCs w:val="24"/>
        </w:rPr>
        <w:t xml:space="preserve">9.1 Requisitos não funcionais</w:t>
      </w:r>
    </w:p>
    <w:p>
      <w:pPr>
        <w:pStyle w:val="ListParagraph"/>
        <w:numPr>
          <w:ilvl w:val="0"/>
          <w:numId w:val="2"/>
        </w:numPr>
        <w:spacing w:after="80" w:line="280"/>
      </w:pPr>
      <w:r>
        <w:rPr>
          <w:rFonts w:ascii="Verdana" w:cs="Verdana" w:eastAsia="Verdana" w:hAnsi="Verdana"/>
          <w:color w:val="3A3A3A"/>
          <w:sz w:val="20"/>
          <w:szCs w:val="20"/>
        </w:rPr>
        <w:t xml:space="preserve">Acesso via navegador (desktop e celular) com layout responsivo; uso principal esperado durante as reuniões, pelo celular.</w:t>
      </w:r>
    </w:p>
    <w:p>
      <w:pPr>
        <w:pStyle w:val="ListParagraph"/>
        <w:numPr>
          <w:ilvl w:val="0"/>
          <w:numId w:val="2"/>
        </w:numPr>
        <w:spacing w:after="80" w:line="280"/>
      </w:pPr>
      <w:r>
        <w:rPr>
          <w:rFonts w:ascii="Verdana" w:cs="Verdana" w:eastAsia="Verdana" w:hAnsi="Verdana"/>
          <w:color w:val="3A3A3A"/>
          <w:sz w:val="20"/>
          <w:szCs w:val="20"/>
        </w:rPr>
        <w:t xml:space="preserve">Autenticação individual por e-mail e senha, com controle de acesso por perfil (Gestor, Administrativo, Empresário).</w:t>
      </w:r>
    </w:p>
    <w:p>
      <w:pPr>
        <w:pStyle w:val="ListParagraph"/>
        <w:numPr>
          <w:ilvl w:val="0"/>
          <w:numId w:val="2"/>
        </w:numPr>
        <w:spacing w:after="80" w:line="280"/>
      </w:pPr>
      <w:r>
        <w:rPr>
          <w:rFonts w:ascii="Verdana" w:cs="Verdana" w:eastAsia="Verdana" w:hAnsi="Verdana"/>
          <w:color w:val="3A3A3A"/>
          <w:sz w:val="20"/>
          <w:szCs w:val="20"/>
        </w:rPr>
        <w:t xml:space="preserve">Idioma: Português do Brasil. Moeda: Real (R$). Fuso horário: Brasília.</w:t>
      </w:r>
    </w:p>
    <w:p>
      <w:pPr>
        <w:pStyle w:val="ListParagraph"/>
        <w:numPr>
          <w:ilvl w:val="0"/>
          <w:numId w:val="2"/>
        </w:numPr>
        <w:spacing w:after="80" w:line="280"/>
      </w:pPr>
      <w:r>
        <w:rPr>
          <w:rFonts w:ascii="Verdana" w:cs="Verdana" w:eastAsia="Verdana" w:hAnsi="Verdana"/>
          <w:color w:val="3A3A3A"/>
          <w:sz w:val="20"/>
          <w:szCs w:val="20"/>
        </w:rPr>
        <w:t xml:space="preserve">Identidade visual Mason Connect: marrom #855023, dourado #CAAA67 e tons creme, com logotipo institucional.</w:t>
      </w:r>
    </w:p>
    <w:p>
      <w:pPr>
        <w:pStyle w:val="ListParagraph"/>
        <w:numPr>
          <w:ilvl w:val="0"/>
          <w:numId w:val="2"/>
        </w:numPr>
        <w:spacing w:after="80" w:line="280"/>
      </w:pPr>
      <w:r>
        <w:rPr>
          <w:rFonts w:ascii="Verdana" w:cs="Verdana" w:eastAsia="Verdana" w:hAnsi="Verdana"/>
          <w:color w:val="3A3A3A"/>
          <w:sz w:val="20"/>
          <w:szCs w:val="20"/>
        </w:rPr>
        <w:t xml:space="preserve">Backup automático diário dos dados e trilha de auditoria nas ações críticas (aprovação de membro, confirmação de negócio, lançamentos financeiros).</w:t>
      </w:r>
    </w:p>
    <w:p>
      <w:pPr>
        <w:pStyle w:val="ListParagraph"/>
        <w:numPr>
          <w:ilvl w:val="0"/>
          <w:numId w:val="2"/>
        </w:numPr>
        <w:spacing w:after="80" w:line="280"/>
      </w:pPr>
      <w:r>
        <w:rPr>
          <w:rFonts w:ascii="Verdana" w:cs="Verdana" w:eastAsia="Verdana" w:hAnsi="Verdana"/>
          <w:color w:val="3A3A3A"/>
          <w:sz w:val="20"/>
          <w:szCs w:val="20"/>
        </w:rPr>
        <w:t xml:space="preserve">Preparação multi-núcleo: estrutura de dados pronta para segregar futuros grupos estaduais na expansão nacional.</w:t>
      </w:r>
    </w:p>
    <w:p>
      <w:pPr>
        <w:pStyle w:val="Heading2"/>
        <w:spacing w:after="140" w:before="280"/>
      </w:pPr>
      <w:r>
        <w:rPr>
          <w:rFonts w:ascii="Trebuchet MS" w:cs="Trebuchet MS" w:eastAsia="Trebuchet MS" w:hAnsi="Trebuchet MS"/>
          <w:b/>
          <w:bCs/>
          <w:color w:val="855023"/>
          <w:sz w:val="24"/>
          <w:szCs w:val="24"/>
        </w:rPr>
        <w:t xml:space="preserve">9.2 Stack tecnológica recomendada</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2100"/>
        <w:gridCol w:w="2800"/>
        <w:gridCol w:w="4126"/>
      </w:tblGrid>
      <w:tr>
        <w:trPr>
          <w:tblHeader/>
        </w:trPr>
        <w:tc>
          <w:tcPr>
            <w:tcW w:type="dxa" w:w="21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Camada</w:t>
            </w:r>
          </w:p>
        </w:tc>
        <w:tc>
          <w:tcPr>
            <w:tcW w:type="dxa" w:w="2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Tecnologia</w:t>
            </w:r>
          </w:p>
        </w:tc>
        <w:tc>
          <w:tcPr>
            <w:tcW w:type="dxa" w:w="41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Justificativa</w:t>
            </w:r>
          </w:p>
        </w:tc>
      </w:tr>
      <w:tr>
        <w:tc>
          <w:tcPr>
            <w:tcW w:type="dxa" w:w="2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Interface (front-end)</w:t>
            </w:r>
          </w:p>
        </w:tc>
        <w:tc>
          <w:tcPr>
            <w:tcW w:type="dxa" w:w="2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React com Tailwind CSS</w:t>
            </w:r>
          </w:p>
        </w:tc>
        <w:tc>
          <w:tcPr>
            <w:tcW w:type="dxa" w:w="4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Padrão de mercado, responsivo, rápido de evoluir e com ampla oferta de desenvolvedores.</w:t>
            </w:r>
          </w:p>
        </w:tc>
      </w:tr>
      <w:tr>
        <w:tc>
          <w:tcPr>
            <w:tcW w:type="dxa" w:w="2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Banco e back-end</w:t>
            </w:r>
          </w:p>
        </w:tc>
        <w:tc>
          <w:tcPr>
            <w:tcW w:type="dxa" w:w="2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Supabase (PostgreSQL gerenciado)</w:t>
            </w:r>
          </w:p>
        </w:tc>
        <w:tc>
          <w:tcPr>
            <w:tcW w:type="dxa" w:w="4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Autenticação pronta, permissões por perfil no próprio banco, custo próximo de zero para o porte atual do grupo.</w:t>
            </w:r>
          </w:p>
        </w:tc>
      </w:tr>
      <w:tr>
        <w:tc>
          <w:tcPr>
            <w:tcW w:type="dxa" w:w="2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Relatórios e gráficos</w:t>
            </w:r>
          </w:p>
        </w:tc>
        <w:tc>
          <w:tcPr>
            <w:tcW w:type="dxa" w:w="2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Recharts / exportação em PDF</w:t>
            </w:r>
          </w:p>
        </w:tc>
        <w:tc>
          <w:tcPr>
            <w:tcW w:type="dxa" w:w="4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Dashboards nativos na aplicação e relatórios exportáveis para apresentação em reunião.</w:t>
            </w:r>
          </w:p>
        </w:tc>
      </w:tr>
      <w:tr>
        <w:tc>
          <w:tcPr>
            <w:tcW w:type="dxa" w:w="21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Pagamentos (Fase 3)</w:t>
            </w:r>
          </w:p>
        </w:tc>
        <w:tc>
          <w:tcPr>
            <w:tcW w:type="dxa" w:w="2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Asaas ou Mercado Pago (Pix/boleto)</w:t>
            </w:r>
          </w:p>
        </w:tc>
        <w:tc>
          <w:tcPr>
            <w:tcW w:type="dxa" w:w="41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Automatização da cobrança de mensalidades com conciliação automática.</w:t>
            </w:r>
          </w:p>
        </w:tc>
      </w:tr>
      <w:tr>
        <w:tc>
          <w:tcPr>
            <w:tcW w:type="dxa" w:w="21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Notificações (Fase 3)</w:t>
            </w:r>
          </w:p>
        </w:tc>
        <w:tc>
          <w:tcPr>
            <w:tcW w:type="dxa" w:w="2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API oficial do WhatsApp</w:t>
            </w:r>
          </w:p>
        </w:tc>
        <w:tc>
          <w:tcPr>
            <w:tcW w:type="dxa" w:w="41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Canal já utilizado pelo grupo para lembretes de reunião e cobrança amigável.</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10. Roadmap de Implantação</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2000"/>
        <w:gridCol w:w="2800"/>
        <w:gridCol w:w="3026"/>
        <w:gridCol w:w="1200"/>
      </w:tblGrid>
      <w:tr>
        <w:trPr>
          <w:tblHeader/>
        </w:trPr>
        <w:tc>
          <w:tcPr>
            <w:tcW w:type="dxa" w:w="20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Fase</w:t>
            </w:r>
          </w:p>
        </w:tc>
        <w:tc>
          <w:tcPr>
            <w:tcW w:type="dxa" w:w="28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Escopo</w:t>
            </w:r>
          </w:p>
        </w:tc>
        <w:tc>
          <w:tcPr>
            <w:tcW w:type="dxa" w:w="30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Entregas</w:t>
            </w:r>
          </w:p>
        </w:tc>
        <w:tc>
          <w:tcPr>
            <w:tcW w:type="dxa" w:w="1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Prazo estimado</w:t>
            </w:r>
          </w:p>
        </w:tc>
      </w:tr>
      <w:tr>
        <w:tc>
          <w:tcPr>
            <w:tcW w:type="dxa" w:w="2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Fase 1 — Protótipo</w:t>
            </w:r>
          </w:p>
        </w:tc>
        <w:tc>
          <w:tcPr>
            <w:tcW w:type="dxa" w:w="2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Aplicativo navegável com dados de exemplo para validação pela gestão.</w:t>
            </w:r>
          </w:p>
        </w:tc>
        <w:tc>
          <w:tcPr>
            <w:tcW w:type="dxa" w:w="30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Todas as telas dos 4 módulos; dashboards funcionais; ajustes de fluxo com Leonardo e gestores.</w:t>
            </w:r>
          </w:p>
        </w:tc>
        <w:tc>
          <w:tcPr>
            <w:tcW w:type="dxa" w:w="1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2 semanas</w:t>
            </w:r>
          </w:p>
        </w:tc>
      </w:tr>
      <w:tr>
        <w:tc>
          <w:tcPr>
            <w:tcW w:type="dxa" w:w="20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Fase 2 — MVP em produção</w:t>
            </w:r>
          </w:p>
        </w:tc>
        <w:tc>
          <w:tcPr>
            <w:tcW w:type="dxa" w:w="28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Sistema real com banco de dados, login por perfil e dados persistentes.</w:t>
            </w:r>
          </w:p>
        </w:tc>
        <w:tc>
          <w:tcPr>
            <w:tcW w:type="dxa" w:w="30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Requisitos E implementados; carga inicial de membros e empresas; treinamento da equipe administrativa.</w:t>
            </w:r>
          </w:p>
        </w:tc>
        <w:tc>
          <w:tcPr>
            <w:tcW w:type="dxa" w:w="1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4 a 6 semanas</w:t>
            </w:r>
          </w:p>
        </w:tc>
      </w:tr>
      <w:tr>
        <w:tc>
          <w:tcPr>
            <w:tcW w:type="dxa" w:w="2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Fase 3 — Evolução</w:t>
            </w:r>
          </w:p>
        </w:tc>
        <w:tc>
          <w:tcPr>
            <w:tcW w:type="dxa" w:w="28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Automatizações e preparação para escala nacional.</w:t>
            </w:r>
          </w:p>
        </w:tc>
        <w:tc>
          <w:tcPr>
            <w:tcW w:type="dxa" w:w="30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Cobrança Pix/boleto integrada; notificações WhatsApp; estrutura multi-núcleo; requisitos I e D.</w:t>
            </w:r>
          </w:p>
        </w:tc>
        <w:tc>
          <w:tcPr>
            <w:tcW w:type="dxa" w:w="1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8 a 12 semanas</w:t>
            </w:r>
          </w:p>
        </w:tc>
      </w:tr>
    </w:tbl>
    <w:p>
      <w:pPr>
        <w:spacing w:after="200"/>
      </w:pPr>
    </w:p>
    <w:p>
      <w:pPr>
        <w:pStyle w:val="Heading2"/>
        <w:spacing w:after="140" w:before="280"/>
      </w:pPr>
      <w:r>
        <w:rPr>
          <w:rFonts w:ascii="Trebuchet MS" w:cs="Trebuchet MS" w:eastAsia="Trebuchet MS" w:hAnsi="Trebuchet MS"/>
          <w:b/>
          <w:bCs/>
          <w:color w:val="855023"/>
          <w:sz w:val="24"/>
          <w:szCs w:val="24"/>
        </w:rPr>
        <w:t xml:space="preserve">10.1 Riscos e mitigações</w:t>
      </w: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4000"/>
        <w:gridCol w:w="5026"/>
      </w:tblGrid>
      <w:tr>
        <w:trPr>
          <w:tblHeader/>
        </w:trPr>
        <w:tc>
          <w:tcPr>
            <w:tcW w:type="dxa" w:w="40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Risco</w:t>
            </w:r>
          </w:p>
        </w:tc>
        <w:tc>
          <w:tcPr>
            <w:tcW w:type="dxa" w:w="50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Mitigação</w:t>
            </w:r>
          </w:p>
        </w:tc>
      </w:tr>
      <w:tr>
        <w:tc>
          <w:tcPr>
            <w:tcW w:type="dxa" w:w="4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Baixa adesão dos membros ao registro de indicações.</w:t>
            </w:r>
          </w:p>
        </w:tc>
        <w:tc>
          <w:tcPr>
            <w:tcW w:type="dxa" w:w="50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Lançamento das indicações ao vivo durante a reunião (Rodada de Negócios), conduzido pelo Administrativo.</w:t>
            </w:r>
          </w:p>
        </w:tc>
      </w:tr>
      <w:tr>
        <w:tc>
          <w:tcPr>
            <w:tcW w:type="dxa" w:w="40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Dados financeiros incompletos na migração inicial.</w:t>
            </w:r>
          </w:p>
        </w:tc>
        <w:tc>
          <w:tcPr>
            <w:tcW w:type="dxa" w:w="50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Definir data de corte: o sistema passa a ser a fonte oficial a partir da competência de implantação.</w:t>
            </w:r>
          </w:p>
        </w:tc>
      </w:tr>
      <w:tr>
        <w:tc>
          <w:tcPr>
            <w:tcW w:type="dxa" w:w="4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Mudanças de regra após o desenvolvimento.</w:t>
            </w:r>
          </w:p>
        </w:tc>
        <w:tc>
          <w:tcPr>
            <w:tcW w:type="dxa" w:w="50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Parametrização das regras (planos, faltas, comissão) em telas de configuração, sem alteração de código.</w:t>
            </w:r>
          </w:p>
        </w:tc>
      </w:tr>
      <w:tr>
        <w:tc>
          <w:tcPr>
            <w:tcW w:type="dxa" w:w="40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Dependência de uma única pessoa na operação.</w:t>
            </w:r>
          </w:p>
        </w:tc>
        <w:tc>
          <w:tcPr>
            <w:tcW w:type="dxa" w:w="50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Perfis Administrativo redundantes e manual de operação entregue na Fase 2.</w:t>
            </w:r>
          </w:p>
        </w:tc>
      </w:tr>
    </w:tbl>
    <w:p>
      <w:pPr>
        <w:spacing w:after="200"/>
      </w:pPr>
    </w:p>
    <w:p>
      <w:r>
        <w:br w:type="page"/>
      </w:r>
    </w:p>
    <w:p>
      <w:pPr>
        <w:pStyle w:val="Heading1"/>
        <w:pBdr>
          <w:bottom w:val="single" w:color="CAAA67" w:sz="12"/>
        </w:pBdr>
        <w:spacing w:after="200" w:before="360"/>
      </w:pPr>
      <w:r>
        <w:rPr>
          <w:rFonts w:ascii="Trebuchet MS" w:cs="Trebuchet MS" w:eastAsia="Trebuchet MS" w:hAnsi="Trebuchet MS"/>
          <w:b/>
          <w:bCs/>
          <w:color w:val="855023"/>
          <w:sz w:val="30"/>
          <w:szCs w:val="30"/>
        </w:rPr>
        <w:t xml:space="preserve">11. Aprovação</w:t>
      </w:r>
    </w:p>
    <w:p>
      <w:pPr>
        <w:spacing w:after="160" w:line="300"/>
        <w:jc w:val="both"/>
      </w:pPr>
      <w:r>
        <w:rPr>
          <w:rFonts w:ascii="Verdana" w:cs="Verdana" w:eastAsia="Verdana" w:hAnsi="Verdana"/>
          <w:color w:val="3A3A3A"/>
          <w:sz w:val="20"/>
          <w:szCs w:val="20"/>
        </w:rPr>
        <w:t xml:space="preserve">A assinatura deste documento formaliza a validação do escopo aqui descrito e autoriza o início da Fase 1. Alterações posteriores de escopo deverão ser registradas em adendo, com avaliação de impacto sobre prazo e custo.</w:t>
      </w:r>
    </w:p>
    <w:p>
      <w:pPr>
        <w:spacing w:after="400"/>
      </w:pPr>
    </w:p>
    <w:tbl>
      <w:tblPr>
        <w:tblW w:type="dxa" w:w="9026"/>
        <w:tblBorders>
          <w:top w:val="single" w:color="CAAA67" w:sz="4"/>
          <w:left w:val="single" w:color="CAAA67" w:sz="4"/>
          <w:bottom w:val="single" w:color="CAAA67" w:sz="4"/>
          <w:right w:val="single" w:color="CAAA67" w:sz="4"/>
          <w:insideH w:val="single" w:color="CAAA67" w:sz="2"/>
          <w:insideV w:val="single" w:color="CAAA67" w:sz="2"/>
        </w:tblBorders>
      </w:tblPr>
      <w:tblGrid>
        <w:gridCol w:w="2300"/>
        <w:gridCol w:w="3526"/>
        <w:gridCol w:w="2000"/>
        <w:gridCol w:w="1200"/>
      </w:tblGrid>
      <w:tr>
        <w:trPr>
          <w:tblHeader/>
        </w:trPr>
        <w:tc>
          <w:tcPr>
            <w:tcW w:type="dxa" w:w="23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Nome</w:t>
            </w:r>
          </w:p>
        </w:tc>
        <w:tc>
          <w:tcPr>
            <w:tcW w:type="dxa" w:w="3526"/>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Função</w:t>
            </w:r>
          </w:p>
        </w:tc>
        <w:tc>
          <w:tcPr>
            <w:tcW w:type="dxa" w:w="20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Assinatura</w:t>
            </w:r>
          </w:p>
        </w:tc>
        <w:tc>
          <w:tcPr>
            <w:tcW w:type="dxa" w:w="1200"/>
            <w:shd w:fill="855023" w:val="clear"/>
            <w:tcMar>
              <w:top w:type="dxa" w:w="60"/>
              <w:left w:type="dxa" w:w="120"/>
              <w:bottom w:type="dxa" w:w="60"/>
              <w:right w:type="dxa" w:w="120"/>
            </w:tcMar>
            <w:vAlign w:val="center"/>
          </w:tcPr>
          <w:p>
            <w:pPr>
              <w:spacing w:after="40" w:before="40" w:line="260"/>
              <w:jc w:val="center"/>
            </w:pPr>
            <w:r>
              <w:rPr>
                <w:rFonts w:ascii="Verdana" w:cs="Verdana" w:eastAsia="Verdana" w:hAnsi="Verdana"/>
                <w:b/>
                <w:bCs/>
                <w:color w:val="FFFFFF"/>
                <w:sz w:val="18"/>
                <w:szCs w:val="18"/>
              </w:rPr>
              <w:t xml:space="preserve">Data</w:t>
            </w:r>
          </w:p>
        </w:tc>
      </w:tr>
      <w:tr>
        <w:tc>
          <w:tcPr>
            <w:tcW w:type="dxa" w:w="2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Leonardo</w:t>
            </w:r>
          </w:p>
        </w:tc>
        <w:tc>
          <w:tcPr>
            <w:tcW w:type="dxa" w:w="3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Fundador / Presidente — Mason Connect</w:t>
            </w:r>
          </w:p>
        </w:tc>
        <w:tc>
          <w:tcPr>
            <w:tcW w:type="dxa" w:w="2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c>
          <w:tcPr>
            <w:tcW w:type="dxa" w:w="1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r>
      <w:tr>
        <w:tc>
          <w:tcPr>
            <w:tcW w:type="dxa" w:w="23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Luetil</w:t>
            </w:r>
          </w:p>
        </w:tc>
        <w:tc>
          <w:tcPr>
            <w:tcW w:type="dxa" w:w="3526"/>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Gestão Estratégica — FONS Consultoria</w:t>
            </w:r>
          </w:p>
        </w:tc>
        <w:tc>
          <w:tcPr>
            <w:tcW w:type="dxa" w:w="20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c>
          <w:tcPr>
            <w:tcW w:type="dxa" w:w="1200"/>
            <w:shd w:fill="F5EFE3"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r>
      <w:tr>
        <w:tc>
          <w:tcPr>
            <w:tcW w:type="dxa" w:w="23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c>
          <w:tcPr>
            <w:tcW w:type="dxa" w:w="3526"/>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Responsável Técnico (desenvolvimento)</w:t>
            </w:r>
          </w:p>
        </w:tc>
        <w:tc>
          <w:tcPr>
            <w:tcW w:type="dxa" w:w="20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c>
          <w:tcPr>
            <w:tcW w:type="dxa" w:w="1200"/>
            <w:shd w:fill="FFFFFF" w:val="clear"/>
            <w:tcMar>
              <w:top w:type="dxa" w:w="60"/>
              <w:left w:type="dxa" w:w="120"/>
              <w:bottom w:type="dxa" w:w="60"/>
              <w:right w:type="dxa" w:w="120"/>
            </w:tcMar>
            <w:vAlign w:val="center"/>
          </w:tcPr>
          <w:p>
            <w:pPr>
              <w:spacing w:after="40" w:before="40" w:line="260"/>
              <w:jc w:val="left"/>
            </w:pPr>
            <w:r>
              <w:rPr>
                <w:rFonts w:ascii="Verdana" w:cs="Verdana" w:eastAsia="Verdana" w:hAnsi="Verdana"/>
                <w:color w:val="3A3A3A"/>
                <w:sz w:val="18"/>
                <w:szCs w:val="18"/>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AA67" w:sz="6"/>
      </w:pBdr>
      <w:spacing w:before="80"/>
      <w:jc w:val="center"/>
    </w:pPr>
    <w:r>
      <w:rPr>
        <w:rFonts w:ascii="Verdana" w:cs="Verdana" w:eastAsia="Verdana" w:hAnsi="Verdana"/>
        <w:color w:val="855023"/>
        <w:sz w:val="16"/>
        <w:szCs w:val="16"/>
      </w:rPr>
      <w:t xml:space="preserve">Documento Confidencial — Mason Connect | FONS Consultoria  •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A67" w:sz="6"/>
      </w:pBdr>
      <w:spacing w:after="120"/>
      <w:jc w:val="right"/>
    </w:pPr>
    <w:r>
      <w:rPr>
        <w:rFonts w:ascii="Trebuchet MS" w:cs="Trebuchet MS" w:eastAsia="Trebuchet MS" w:hAnsi="Trebuchet MS"/>
        <w:b/>
        <w:bCs/>
        <w:color w:val="855023"/>
        <w:sz w:val="18"/>
        <w:szCs w:val="18"/>
      </w:rPr>
      <w:t xml:space="preserve">MASON CONNECT  </w:t>
    </w: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18b06a02f82ecfdd8b1f1ef44f661bf75bd96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b18b06a02f82ecfdd8b1f1ef44f661bf75bd96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2026-07-03T19:45:42.714Z</dcterms:created>
  <dcterms:modified xsi:type="dcterms:W3CDTF">2026-07-03T19:45:42.729Z</dcterms:modified>
</cp:coreProperties>
</file>

<file path=docProps/custom.xml><?xml version="1.0" encoding="utf-8"?>
<Properties xmlns="http://schemas.openxmlformats.org/officeDocument/2006/custom-properties" xmlns:vt="http://schemas.openxmlformats.org/officeDocument/2006/docPropsVTypes"/>
</file>