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cs="Times New Roman"/>
          <w:b/>
          <w:i w:val="0"/>
          <w:sz w:val="40"/>
        </w:rPr>
        <w:t>NorthStar Urban Mobility: A Multi-Paradigm Data Engineering and Analytics Study</w:t>
      </w:r>
    </w:p>
    <w:p>
      <w:pPr>
        <w:spacing w:before="320" w:after="120"/>
      </w:pPr>
      <w:r>
        <w:rPr>
          <w:rFonts w:ascii="Times New Roman" w:hAnsi="Times New Roman" w:cs="Times New Roman"/>
          <w:b/>
          <w:i w:val="0"/>
          <w:sz w:val="30"/>
        </w:rPr>
        <w:t>1. Introduction</w:t>
      </w:r>
    </w:p>
    <w:p>
      <w:pPr>
        <w:spacing w:after="160" w:line="276" w:lineRule="auto"/>
        <w:jc w:val="both"/>
      </w:pPr>
      <w:r>
        <w:rPr>
          <w:rFonts w:ascii="Times New Roman" w:hAnsi="Times New Roman" w:cs="Times New Roman"/>
          <w:b w:val="0"/>
          <w:i w:val="0"/>
          <w:sz w:val="22"/>
        </w:rPr>
        <w:t>The NorthStar Urban Mobility coursework asks for the same set of business questions to be answered using 4 different paradigms: MongoDB for document storage, SQL through R for relational analytics, R for inferential statistics and visualisation, and Python for data processing and machine learning. I treated the brief as one project with 5 deliverable bands rather than 5 separate exercises, so each pipeline reuses the same canonical data definitions and validates against the others.</w:t>
      </w:r>
    </w:p>
    <w:p>
      <w:pPr>
        <w:spacing w:after="160" w:line="276" w:lineRule="auto"/>
        <w:jc w:val="both"/>
      </w:pPr>
      <w:r>
        <w:rPr>
          <w:rFonts w:ascii="Times New Roman" w:hAnsi="Times New Roman" w:cs="Times New Roman"/>
          <w:b w:val="0"/>
          <w:i w:val="0"/>
          <w:sz w:val="22"/>
        </w:rPr>
        <w:t xml:space="preserve">My headline finding is that delivery failures at NorthStar cluster by pickup zone rather than by anything intrinsic to the order. The chi square test on pickup zone comes out at </w:t>
      </w:r>
      <w:r>
        <w:rPr>
          <w:rFonts w:ascii="Times New Roman" w:hAnsi="Times New Roman" w:cs="Times New Roman"/>
          <w:b w:val="0"/>
          <w:i w:val="0"/>
          <w:sz w:val="22"/>
        </w:rPr>
        <w:t>X</w:t>
      </w:r>
      <w:r>
        <w:rPr>
          <w:rFonts w:ascii="Times New Roman" w:hAnsi="Times New Roman" w:cs="Times New Roman"/>
          <w:b w:val="0"/>
          <w:i w:val="0"/>
          <w:sz w:val="22"/>
          <w:vertAlign w:val="superscript"/>
        </w:rPr>
        <w:t>2</w:t>
      </w:r>
      <w:r>
        <w:rPr>
          <w:rFonts w:ascii="Times New Roman" w:hAnsi="Times New Roman" w:cs="Times New Roman"/>
          <w:b w:val="0"/>
          <w:i w:val="0"/>
          <w:sz w:val="22"/>
        </w:rPr>
        <w:t xml:space="preserve"> = 26.12, df = 12, p = 0.0103, identical in scipy and in R to 4 decimal places. A random forest with 9 candidate predictors hits 5-fold ROC AUC of 0.487 plus or minus 0.064, indistinguishable from random guessing, which agrees with my R logistic regression where only the critical-priority indicator reaches significance (OR 0.275, 95% CI 0.082 to 0.929). 3 independent lines of evidence land on the same conclusion: operational improvement should target the failing zones, not try to predict per-order risk.</w:t>
      </w:r>
    </w:p>
    <w:p>
      <w:pPr>
        <w:spacing w:after="160" w:line="276" w:lineRule="auto"/>
        <w:jc w:val="both"/>
      </w:pPr>
      <w:r>
        <w:rPr>
          <w:rFonts w:ascii="Times New Roman" w:hAnsi="Times New Roman" w:cs="Times New Roman"/>
          <w:b w:val="0"/>
          <w:i w:val="0"/>
          <w:sz w:val="22"/>
        </w:rPr>
        <w:t>This report is a single deliverable covering all 5 bands of the marking scheme. I have omitted per-section abstracts and consolidated the critical reflection into a single closing section. Each implementation subsection points at a numbered code listing that names the source file and line range; the screenshot below the listing shows the code as it appears in my VS Code editor. Result figures (charts and tables) are numbered separately and referenced by number in the prose. Tables have been stripped of colour and use uppercase headers with text contained inside each cell.</w:t>
      </w:r>
    </w:p>
    <w:p>
      <w:pPr>
        <w:spacing w:before="320" w:after="120"/>
      </w:pPr>
      <w:r>
        <w:rPr>
          <w:rFonts w:ascii="Times New Roman" w:hAnsi="Times New Roman" w:cs="Times New Roman"/>
          <w:b/>
          <w:i w:val="0"/>
          <w:sz w:val="30"/>
        </w:rPr>
        <w:t>1.1 Resources and remote access</w:t>
      </w:r>
    </w:p>
    <w:p>
      <w:pPr>
        <w:spacing w:after="160" w:line="276" w:lineRule="auto"/>
        <w:jc w:val="both"/>
      </w:pPr>
      <w:r>
        <w:rPr>
          <w:rFonts w:ascii="Times New Roman" w:hAnsi="Times New Roman" w:cs="Times New Roman"/>
          <w:b w:val="0"/>
          <w:i w:val="0"/>
          <w:sz w:val="22"/>
        </w:rPr>
        <w:t>Every artefact this report references is in a single public GitHub repository. The 3 Colab notebooks below run end to end with no setup on the marker's machine: open the badge, click *Runtime &gt; Run all*, and the notebook pulls the data from the repo and runs the pipeline. Notebook 3 connects to my live MongoDB Atlas cluster using credentials that are already embedded in the notebook, so the marker does not need an Atlas account; if the cluster is paused or unreachable the notebook automatically falls back to mongomock so every cell still runs.</w:t>
      </w:r>
    </w:p>
    <w:p>
      <w:pPr>
        <w:spacing w:before="80" w:after="40"/>
      </w:pPr>
      <w:r>
        <w:rPr>
          <w:rFonts w:ascii="Times New Roman" w:hAnsi="Times New Roman" w:cs="Times New Roman"/>
          <w:b/>
          <w:i w:val="0"/>
          <w:sz w:val="22"/>
        </w:rPr>
        <w:t xml:space="preserve">GitHub repository: </w:t>
      </w:r>
      <w:hyperlink r:id="rId9">
        <w:r>
          <w:rPr>
            <w:rFonts w:ascii="Times New Roman" w:hAnsi="Times New Roman"/>
            <w:color w:val="0563C1"/>
            <w:u w:val="single"/>
            <w:sz w:val="22"/>
          </w:rPr>
          <w:t xml:space="preserve">github.com/D1lxrry/Nortstar-Task</w:t>
        </w:r>
      </w:hyperlink>
    </w:p>
    <w:p>
      <w:pPr>
        <w:spacing w:before="40" w:after="40"/>
        <w:ind w:left="283"/>
      </w:pPr>
      <w:r>
        <w:rPr>
          <w:rFonts w:ascii="Times New Roman" w:hAnsi="Times New Roman" w:cs="Times New Roman"/>
          <w:b/>
          <w:i w:val="0"/>
          <w:sz w:val="22"/>
        </w:rPr>
        <w:t xml:space="preserve">Notebook 1 (Python Data Processing): </w:t>
      </w:r>
      <w:hyperlink r:id="rId10">
        <w:r>
          <w:rPr>
            <w:rFonts w:ascii="Times New Roman" w:hAnsi="Times New Roman"/>
            <w:color w:val="0563C1"/>
            <w:u w:val="single"/>
            <w:sz w:val="22"/>
          </w:rPr>
          <w:t xml:space="preserve">https://colab.research.google.com/github/D1lxrry/Nortstar-Task/blob/main/colab_notebooks/01_python_data_processing.ipynb</w:t>
        </w:r>
      </w:hyperlink>
    </w:p>
    <w:p>
      <w:pPr>
        <w:spacing w:before="40" w:after="40"/>
        <w:ind w:left="283"/>
      </w:pPr>
      <w:r>
        <w:rPr>
          <w:rFonts w:ascii="Times New Roman" w:hAnsi="Times New Roman" w:cs="Times New Roman"/>
          <w:b/>
          <w:i w:val="0"/>
          <w:sz w:val="22"/>
        </w:rPr>
        <w:t xml:space="preserve">Notebook 2 (SQL in R + R Analytics): </w:t>
      </w:r>
      <w:hyperlink r:id="rId11">
        <w:r>
          <w:rPr>
            <w:rFonts w:ascii="Times New Roman" w:hAnsi="Times New Roman"/>
            <w:color w:val="0563C1"/>
            <w:u w:val="single"/>
            <w:sz w:val="22"/>
          </w:rPr>
          <w:t xml:space="preserve">https://colab.research.google.com/github/D1lxrry/Nortstar-Task/blob/main/colab_notebooks/02_r_sql_and_analytics.ipynb</w:t>
        </w:r>
      </w:hyperlink>
    </w:p>
    <w:p>
      <w:pPr>
        <w:spacing w:before="40" w:after="40"/>
        <w:ind w:left="283"/>
      </w:pPr>
      <w:r>
        <w:rPr>
          <w:rFonts w:ascii="Times New Roman" w:hAnsi="Times New Roman" w:cs="Times New Roman"/>
          <w:b/>
          <w:i w:val="0"/>
          <w:sz w:val="22"/>
        </w:rPr>
        <w:t xml:space="preserve">Notebook 3 (MongoDB + Query Optimisation): </w:t>
      </w:r>
      <w:hyperlink r:id="rId12">
        <w:r>
          <w:rPr>
            <w:rFonts w:ascii="Times New Roman" w:hAnsi="Times New Roman"/>
            <w:color w:val="0563C1"/>
            <w:u w:val="single"/>
            <w:sz w:val="22"/>
          </w:rPr>
          <w:t xml:space="preserve">https://colab.research.google.com/github/D1lxrry/Nortstar-Task/blob/main/colab_notebooks/03_mongodb_and_query_optimisation.ipynb</w:t>
        </w:r>
      </w:hyperlink>
    </w:p>
    <w:p>
      <w:pPr>
        <w:spacing w:after="160" w:line="276" w:lineRule="auto"/>
        <w:jc w:val="both"/>
      </w:pPr>
      <w:r>
        <w:rPr>
          <w:rFonts w:ascii="Times New Roman" w:hAnsi="Times New Roman" w:cs="Times New Roman"/>
          <w:b w:val="0"/>
          <w:i w:val="0"/>
          <w:sz w:val="22"/>
        </w:rPr>
        <w:t>The Atlas cluster is named NorthStar, hosted on AWS in eu-west-1 (Ireland) on the free M0 tier. The cluster has Network Access set to 0.0.0.0/0 so any Colab session can connect. A read-only database user is embedded in notebook 3 of the public repo, which is what gives the marker live access without needing my Atlas login. If the marker would prefer to inspect the data with their own MongoDB Compass or shell, the connection string is on the first cell of notebook 3 and can be copied out from there.</w:t>
      </w:r>
    </w:p>
    <w:p>
      <w:pPr>
        <w:spacing w:before="320" w:after="120"/>
      </w:pPr>
      <w:r>
        <w:rPr>
          <w:rFonts w:ascii="Times New Roman" w:hAnsi="Times New Roman" w:cs="Times New Roman"/>
          <w:b/>
          <w:i w:val="0"/>
          <w:sz w:val="30"/>
        </w:rPr>
        <w:t>2. MongoDB Development</w:t>
      </w:r>
    </w:p>
    <w:p>
      <w:pPr>
        <w:spacing w:after="160" w:line="276" w:lineRule="auto"/>
        <w:jc w:val="both"/>
      </w:pPr>
      <w:r>
        <w:rPr>
          <w:rFonts w:ascii="Times New Roman" w:hAnsi="Times New Roman" w:cs="Times New Roman"/>
          <w:b w:val="0"/>
          <w:i w:val="0"/>
          <w:sz w:val="22"/>
        </w:rPr>
        <w:t>My first observation when I started designing the schema was that almost every business question reduces to one of two shapes. Either it asks what happened to a specific order, or it asks how orders aggregate by some attribute. That pushed me toward an order-centric document rather than mirroring the relational layout 1 to 1 inside MongoDB. The work splits into 4 phases: provisioning a free-tier Atlas cluster, loading the 9 raw CSVs into 9 collections via PyMongo, designing the embedded orders_aggregate collection with the cleanup that goes with it, and writing the 12 analytical aggregations the band rewards.</w:t>
      </w:r>
    </w:p>
    <w:p>
      <w:pPr>
        <w:spacing w:before="240" w:after="80"/>
      </w:pPr>
      <w:r>
        <w:rPr>
          <w:rFonts w:ascii="Times New Roman" w:hAnsi="Times New Roman" w:cs="Times New Roman"/>
          <w:b/>
          <w:i w:val="0"/>
          <w:sz w:val="26"/>
        </w:rPr>
        <w:t>2.1 Bulk load with type coercion</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1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mongodb/load_northstar.py</w:t>
        <w:br/>
      </w:r>
      <w:r>
        <w:rPr>
          <w:rFonts w:ascii="Consolas" w:hAnsi="Consolas" w:cs="Consolas"/>
          <w:b/>
          <w:i w:val="0"/>
          <w:sz w:val="20"/>
        </w:rPr>
        <w:t xml:space="preserve">Lines: </w:t>
      </w:r>
      <w:r>
        <w:rPr>
          <w:rFonts w:ascii="Consolas" w:hAnsi="Consolas" w:cs="Consolas"/>
          <w:b w:val="0"/>
          <w:i w:val="0"/>
          <w:sz w:val="20"/>
        </w:rPr>
        <w:t>36-65    (coerce helper + load_csv reader)</w:t>
      </w:r>
    </w:p>
    <w:p>
      <w:pPr>
        <w:spacing w:after="200"/>
        <w:jc w:val="center"/>
      </w:pPr>
      <w:r>
        <w:rPr>
          <w:rFonts w:ascii="Times New Roman" w:hAnsi="Times New Roman" w:cs="Times New Roman"/>
          <w:b/>
          <w:i w:val="0"/>
          <w:sz w:val="20"/>
        </w:rPr>
        <w:t>Listing 1: Coerce Helper + Load_Csv Reader</w:t>
      </w:r>
    </w:p>
    <w:p>
      <w:pPr>
        <w:spacing w:after="160" w:line="276" w:lineRule="auto"/>
        <w:jc w:val="both"/>
      </w:pPr>
      <w:r>
        <w:rPr>
          <w:rFonts w:ascii="Times New Roman" w:hAnsi="Times New Roman" w:cs="Times New Roman"/>
          <w:b w:val="0"/>
          <w:i w:val="0"/>
          <w:sz w:val="22"/>
        </w:rPr>
        <w:t>My loader reads each CSV with the standard csv.DictReader, runs every field through a shared coerce helper, and bulk-inserts the resulting documents. The coercion step matters more than it sounds. The first time I ran the queries without it, I got "NaN" back from $avg because Mongo treats every value as a string when the field comes in unstructured. Coercing to native int, float, datetime or bool fixed every downstream aggregation in one move.</w:t>
      </w:r>
    </w:p>
    <w:p>
      <w:pPr>
        <w:spacing w:before="240" w:after="80"/>
      </w:pPr>
      <w:r>
        <w:rPr>
          <w:rFonts w:ascii="Times New Roman" w:hAnsi="Times New Roman" w:cs="Times New Roman"/>
          <w:b/>
          <w:i w:val="0"/>
          <w:sz w:val="26"/>
        </w:rPr>
        <w:t>2.2 The embedded order document</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2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mongodb/schema_design.md</w:t>
        <w:br/>
      </w:r>
      <w:r>
        <w:rPr>
          <w:rFonts w:ascii="Consolas" w:hAnsi="Consolas" w:cs="Consolas"/>
          <w:b/>
          <w:i w:val="0"/>
          <w:sz w:val="20"/>
        </w:rPr>
        <w:t xml:space="preserve">Lines: </w:t>
      </w:r>
      <w:r>
        <w:rPr>
          <w:rFonts w:ascii="Consolas" w:hAnsi="Consolas" w:cs="Consolas"/>
          <w:b w:val="0"/>
          <w:i w:val="0"/>
          <w:sz w:val="20"/>
        </w:rPr>
        <w:t>20-55    (orders_aggregate document shape, JSON example)</w:t>
      </w:r>
    </w:p>
    <w:p>
      <w:pPr>
        <w:spacing w:after="200"/>
        <w:jc w:val="center"/>
      </w:pPr>
      <w:r>
        <w:rPr>
          <w:rFonts w:ascii="Times New Roman" w:hAnsi="Times New Roman" w:cs="Times New Roman"/>
          <w:b/>
          <w:i w:val="0"/>
          <w:sz w:val="20"/>
        </w:rPr>
        <w:t>Listing 2: Orders_Aggregate Document Shape, Json Example</w:t>
      </w:r>
    </w:p>
    <w:p>
      <w:pPr>
        <w:spacing w:after="160" w:line="276" w:lineRule="auto"/>
        <w:jc w:val="both"/>
      </w:pPr>
      <w:r>
        <w:rPr>
          <w:rFonts w:ascii="Times New Roman" w:hAnsi="Times New Roman" w:cs="Times New Roman"/>
          <w:b w:val="0"/>
          <w:i w:val="0"/>
          <w:sz w:val="22"/>
        </w:rPr>
        <w:t>I decided what to embed by going through each of my 12 analytical queries and noting which fields they read. Every single one of them touches at least one customer attribute (home zone, loyalty score, app engagement). Embedding the customer as a snapshot removes a $lookup from the dominant access path and matches the analytical semantic: I want what the customer looked like at order time, not what they look like right now after a profile edit. Delivery is 1 to 1 with order so it nests directly; incidents nest inside delivery because they only ever surface in their parent context.</w:t>
      </w:r>
    </w:p>
    <w:p>
      <w:pPr>
        <w:spacing w:after="160" w:line="276" w:lineRule="auto"/>
        <w:jc w:val="both"/>
      </w:pPr>
      <w:r>
        <w:rPr>
          <w:rFonts w:ascii="Times New Roman" w:hAnsi="Times New Roman" w:cs="Times New Roman"/>
          <w:b w:val="0"/>
          <w:i w:val="0"/>
          <w:sz w:val="22"/>
        </w:rPr>
        <w:t>Drivers, vehicles and hubs stay as separate collections. Each of those entities is queried in its own right (driver performance, vehicle maintenance, hub capacity), and embedding them in every order would duplicate their attributes 1250 times. Every training score update would also invalidate the snapshots. Reference is the correct call here. This mixed embedded-and-referenced approach is what I would argue separates a thoughtful schema from a copy-paste from a relational ER diagram.</w:t>
      </w:r>
    </w:p>
    <w:p>
      <w:pPr>
        <w:spacing w:before="240" w:after="80"/>
      </w:pPr>
      <w:r>
        <w:rPr>
          <w:rFonts w:ascii="Times New Roman" w:hAnsi="Times New Roman" w:cs="Times New Roman"/>
          <w:b/>
          <w:i w:val="0"/>
          <w:sz w:val="26"/>
        </w:rPr>
        <w:t>2.3 Zone canonicalisation</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3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mongodb/clean_and_build.py</w:t>
        <w:br/>
      </w:r>
      <w:r>
        <w:rPr>
          <w:rFonts w:ascii="Consolas" w:hAnsi="Consolas" w:cs="Consolas"/>
          <w:b/>
          <w:i w:val="0"/>
          <w:sz w:val="20"/>
        </w:rPr>
        <w:t xml:space="preserve">Lines: </w:t>
      </w:r>
      <w:r>
        <w:rPr>
          <w:rFonts w:ascii="Consolas" w:hAnsi="Consolas" w:cs="Consolas"/>
          <w:b w:val="0"/>
          <w:i w:val="0"/>
          <w:sz w:val="20"/>
        </w:rPr>
        <w:t>30-95    (ZONE_MAP + phase1_normalise_zones updateMany loop)</w:t>
      </w:r>
    </w:p>
    <w:p>
      <w:pPr>
        <w:spacing w:after="200"/>
        <w:jc w:val="center"/>
      </w:pPr>
      <w:r>
        <w:rPr>
          <w:rFonts w:ascii="Times New Roman" w:hAnsi="Times New Roman" w:cs="Times New Roman"/>
          <w:b/>
          <w:i w:val="0"/>
          <w:sz w:val="20"/>
        </w:rPr>
        <w:t>Listing 3: Zone_Map + Phase1_Normalise_Zones Updatemany Loop</w:t>
      </w:r>
    </w:p>
    <w:p>
      <w:pPr>
        <w:spacing w:after="160" w:line="276" w:lineRule="auto"/>
        <w:jc w:val="both"/>
      </w:pPr>
      <w:r>
        <w:rPr>
          <w:rFonts w:ascii="Times New Roman" w:hAnsi="Times New Roman" w:cs="Times New Roman"/>
          <w:b w:val="0"/>
          <w:i w:val="0"/>
          <w:sz w:val="22"/>
        </w:rPr>
        <w:t>This cleanup was not in my original plan. It surfaced when I ran Q4 on the starter pipeline and noticed Central, central, CENTRAL and Ctr all coming back as separate groups. I counted the spellings: 16 raw values that should have been 7 canonical zones. The same data quality issue bit me on Q5 a few minutes later, when the $lookup-driven failed-delivery query returned 0 rows because delivery_status was also spelt 3 different ways (Failed, FAILED, failed). A case-insensitive regex match unblocked Q5; the proper fix for the whole dataset was the canonicalisation pass above. The map collapses the 16 raw zone spellings with updateMany applied to every zone-bearing field across every collection. I ran the cleanup after the load (not at insert time) so that the raw collections remain as an audit trail of the original data, and ran it before rebuilding orders_aggregate so the embedded snapshot is already canonical when it lands.</w:t>
      </w:r>
    </w:p>
    <w:p>
      <w:pPr>
        <w:spacing w:before="240" w:after="80"/>
      </w:pPr>
      <w:r>
        <w:rPr>
          <w:rFonts w:ascii="Times New Roman" w:hAnsi="Times New Roman" w:cs="Times New Roman"/>
          <w:b/>
          <w:i w:val="0"/>
          <w:sz w:val="26"/>
        </w:rPr>
        <w:t>2.4 The one aggregation that needs $lookup</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4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mongodb/queries_v2.py</w:t>
        <w:br/>
      </w:r>
      <w:r>
        <w:rPr>
          <w:rFonts w:ascii="Consolas" w:hAnsi="Consolas" w:cs="Consolas"/>
          <w:b/>
          <w:i w:val="0"/>
          <w:sz w:val="20"/>
        </w:rPr>
        <w:t xml:space="preserve">Lines: </w:t>
      </w:r>
      <w:r>
        <w:rPr>
          <w:rFonts w:ascii="Consolas" w:hAnsi="Consolas" w:cs="Consolas"/>
          <w:b w:val="0"/>
          <w:i w:val="0"/>
          <w:sz w:val="20"/>
        </w:rPr>
        <w:t>216-265    (v5_driver_performance: $lookup pipeline)</w:t>
      </w:r>
    </w:p>
    <w:p>
      <w:pPr>
        <w:spacing w:after="200"/>
        <w:jc w:val="center"/>
      </w:pPr>
      <w:r>
        <w:rPr>
          <w:rFonts w:ascii="Times New Roman" w:hAnsi="Times New Roman" w:cs="Times New Roman"/>
          <w:b/>
          <w:i w:val="0"/>
          <w:sz w:val="20"/>
        </w:rPr>
        <w:t>Listing 4: V5_Driver_Performance: $Lookup Pipeline</w:t>
      </w:r>
    </w:p>
    <w:p>
      <w:pPr>
        <w:spacing w:after="160" w:line="276" w:lineRule="auto"/>
        <w:jc w:val="both"/>
      </w:pPr>
      <w:r>
        <w:rPr>
          <w:rFonts w:ascii="Times New Roman" w:hAnsi="Times New Roman" w:cs="Times New Roman"/>
          <w:b w:val="0"/>
          <w:i w:val="0"/>
          <w:sz w:val="22"/>
        </w:rPr>
        <w:t>This is the only place in my project where $lookup is actually necessary. Drivers are not embedded, so any aggregation that touches per-driver metrics has to join. The pipeline joins orders_aggregate to drivers via the nested delivery.driver_id, unwinds the single-match driver array, groups to compute per-driver counts and rates, and returns the top 10 by volume. Every other analytical query can read its answer directly out of the embedded document, which is the design decision paying off.</w:t>
      </w:r>
    </w:p>
    <w:p>
      <w:pPr>
        <w:spacing w:before="240" w:after="80"/>
      </w:pPr>
      <w:r>
        <w:rPr>
          <w:rFonts w:ascii="Times New Roman" w:hAnsi="Times New Roman" w:cs="Times New Roman"/>
          <w:b/>
          <w:i w:val="0"/>
          <w:sz w:val="26"/>
        </w:rPr>
        <w:t>2.5 Results</w:t>
      </w:r>
    </w:p>
    <w:p>
      <w:pPr>
        <w:spacing w:after="160" w:line="276" w:lineRule="auto"/>
        <w:jc w:val="both"/>
      </w:pPr>
      <w:r>
        <w:rPr>
          <w:rFonts w:ascii="Times New Roman" w:hAnsi="Times New Roman" w:cs="Times New Roman"/>
          <w:b w:val="0"/>
          <w:i w:val="0"/>
          <w:sz w:val="22"/>
        </w:rPr>
        <w:t>After the pipeline runs end to end, the cluster holds 9 raw collections (4400 rows total) and the derived orders_aggregate (1250 documents). Figure 1 shows the ZONE_MAP used by the cleanup, including the count of raw spellings folded into each canonical zone.</w:t>
      </w:r>
    </w:p>
    <w:p>
      <w:pPr>
        <w:spacing w:before="120" w:after="40"/>
        <w:jc w:val="center"/>
      </w:pPr>
      <w:r>
        <w:drawing>
          <wp:inline xmlns:a="http://schemas.openxmlformats.org/drawingml/2006/main" xmlns:pic="http://schemas.openxmlformats.org/drawingml/2006/picture">
            <wp:extent cx="5400000" cy="2089857"/>
            <wp:docPr id="1" name="Picture 1"/>
            <wp:cNvGraphicFramePr>
              <a:graphicFrameLocks noChangeAspect="1"/>
            </wp:cNvGraphicFramePr>
            <a:graphic>
              <a:graphicData uri="http://schemas.openxmlformats.org/drawingml/2006/picture">
                <pic:pic>
                  <pic:nvPicPr>
                    <pic:cNvPr id="0" name="M1_zone_map.png"/>
                    <pic:cNvPicPr/>
                  </pic:nvPicPr>
                  <pic:blipFill>
                    <a:blip r:embed="rId13"/>
                    <a:stretch>
                      <a:fillRect/>
                    </a:stretch>
                  </pic:blipFill>
                  <pic:spPr>
                    <a:xfrm>
                      <a:off x="0" y="0"/>
                      <a:ext cx="5400000" cy="2089857"/>
                    </a:xfrm>
                    <a:prstGeom prst="rect"/>
                  </pic:spPr>
                </pic:pic>
              </a:graphicData>
            </a:graphic>
          </wp:inline>
        </w:drawing>
      </w:r>
    </w:p>
    <w:p>
      <w:pPr>
        <w:spacing w:after="200"/>
        <w:jc w:val="center"/>
      </w:pPr>
      <w:r>
        <w:rPr>
          <w:rFonts w:ascii="Times New Roman" w:hAnsi="Times New Roman" w:cs="Times New Roman"/>
          <w:b/>
          <w:i w:val="0"/>
          <w:sz w:val="20"/>
        </w:rPr>
        <w:t>Figure 1: Zone Canonicalisation Map (16 Raw Spellings to 7 Canonical Zones)</w:t>
      </w:r>
    </w:p>
    <w:p>
      <w:pPr>
        <w:spacing w:after="160" w:line="276" w:lineRule="auto"/>
        <w:jc w:val="both"/>
      </w:pPr>
      <w:r>
        <w:rPr>
          <w:rFonts w:ascii="Times New Roman" w:hAnsi="Times New Roman" w:cs="Times New Roman"/>
          <w:b w:val="0"/>
          <w:i w:val="0"/>
          <w:sz w:val="22"/>
        </w:rPr>
        <w:t>My 12 aggregations cover every operator I expected the rubric to look for: $group, $sort, $lookup, $unwind, $project, $bucket, $cond, $ifNull, $size, plus distinct() for the data quality survey. Two findings shape the rest of the project. Failure rate varies sharply by pickup_zone (between 7% and 22% across the 7 zones) but barely moves by service_type. The top-rated drivers cluster in Central and North, which are also the worst zones for failures; that points at a zone-side problem, not a driver-side problem. Document size stays well under 100 KB even for the worst case order, so the 16 MB BSON ceiling is never threatened.</w:t>
      </w:r>
    </w:p>
    <w:p>
      <w:pPr>
        <w:spacing w:before="320" w:after="120"/>
      </w:pPr>
      <w:r>
        <w:rPr>
          <w:rFonts w:ascii="Times New Roman" w:hAnsi="Times New Roman" w:cs="Times New Roman"/>
          <w:b/>
          <w:i w:val="0"/>
          <w:sz w:val="30"/>
        </w:rPr>
        <w:t>3. Query Optimisation</w:t>
      </w:r>
    </w:p>
    <w:p>
      <w:pPr>
        <w:spacing w:after="160" w:line="276" w:lineRule="auto"/>
        <w:jc w:val="both"/>
      </w:pPr>
      <w:r>
        <w:rPr>
          <w:rFonts w:ascii="Times New Roman" w:hAnsi="Times New Roman" w:cs="Times New Roman"/>
          <w:b w:val="0"/>
          <w:i w:val="0"/>
          <w:sz w:val="22"/>
        </w:rPr>
        <w:t>The query optimisation band is worth 10 marks and asks for evidence that I understand how MongoDB's planner picks an index, why some choices win, and how to measure the effect quantitatively rather than asserting it. My substrate is the orders_aggregate collection from Section 2: 1250 documents, mean size around 8 KB, on the free-tier Atlas cluster.</w:t>
      </w:r>
    </w:p>
    <w:p>
      <w:pPr>
        <w:spacing w:after="160" w:line="276" w:lineRule="auto"/>
        <w:jc w:val="both"/>
      </w:pPr>
      <w:r>
        <w:rPr>
          <w:rFonts w:ascii="Times New Roman" w:hAnsi="Times New Roman" w:cs="Times New Roman"/>
          <w:b w:val="0"/>
          <w:i w:val="0"/>
          <w:sz w:val="22"/>
        </w:rPr>
        <w:t>I picked 4 query archetypes that exercise different planner code paths and that map onto queries my analytical pipeline actually uses. The experiment captures executionStats from explain() with and without the proposed index, computes the docsExamined reduction factor, and inspects the winning plan stage. I rely on docsExamined as the headline metric because executionTimeMillis is meaningless at this collection size where the working set fits in cache.</w:t>
      </w:r>
    </w:p>
    <w:p>
      <w:pPr>
        <w:spacing w:before="240" w:after="80"/>
      </w:pPr>
      <w:r>
        <w:rPr>
          <w:rFonts w:ascii="Times New Roman" w:hAnsi="Times New Roman" w:cs="Times New Roman"/>
          <w:b/>
          <w:i w:val="0"/>
          <w:sz w:val="26"/>
        </w:rPr>
        <w:t>3.1 Baseline: drop secondary indexes</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5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mongodb/indexes_explain.py</w:t>
        <w:br/>
      </w:r>
      <w:r>
        <w:rPr>
          <w:rFonts w:ascii="Consolas" w:hAnsi="Consolas" w:cs="Consolas"/>
          <w:b/>
          <w:i w:val="0"/>
          <w:sz w:val="20"/>
        </w:rPr>
        <w:t xml:space="preserve">Lines: </w:t>
      </w:r>
      <w:r>
        <w:rPr>
          <w:rFonts w:ascii="Consolas" w:hAnsi="Consolas" w:cs="Consolas"/>
          <w:b w:val="0"/>
          <w:i w:val="0"/>
          <w:sz w:val="20"/>
        </w:rPr>
        <w:t>65-98    (drop_non_default_indexes + capture (executionStats parser))</w:t>
      </w:r>
    </w:p>
    <w:p>
      <w:pPr>
        <w:spacing w:after="200"/>
        <w:jc w:val="center"/>
      </w:pPr>
      <w:r>
        <w:rPr>
          <w:rFonts w:ascii="Times New Roman" w:hAnsi="Times New Roman" w:cs="Times New Roman"/>
          <w:b/>
          <w:i w:val="0"/>
          <w:sz w:val="20"/>
        </w:rPr>
        <w:t>Listing 5: Drop_Non_Default_Indexes + Capture (Executionstats Parser)</w:t>
      </w:r>
    </w:p>
    <w:p>
      <w:pPr>
        <w:spacing w:after="160" w:line="276" w:lineRule="auto"/>
        <w:jc w:val="both"/>
      </w:pPr>
      <w:r>
        <w:rPr>
          <w:rFonts w:ascii="Times New Roman" w:hAnsi="Times New Roman" w:cs="Times New Roman"/>
          <w:b w:val="0"/>
          <w:i w:val="0"/>
          <w:sz w:val="22"/>
        </w:rPr>
        <w:t>My baseline strips orders_aggregate down to the mandatory _id_ index, then runs explain('executionStats') to capture the COLLSCAN plan. The capture helper pulls 5 fields out of executionStats that summarise what the planner did and how much work it cost. Resetting between archetypes guarantees a true baseline: the engine never sees an index left over from a previous archetype.</w:t>
      </w:r>
    </w:p>
    <w:p>
      <w:pPr>
        <w:spacing w:before="240" w:after="80"/>
      </w:pPr>
      <w:r>
        <w:rPr>
          <w:rFonts w:ascii="Times New Roman" w:hAnsi="Times New Roman" w:cs="Times New Roman"/>
          <w:b/>
          <w:i w:val="0"/>
          <w:sz w:val="26"/>
        </w:rPr>
        <w:t>3.2 The 4 query archetypes and their proposed indexes</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6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mongodb/indexes_explain.py</w:t>
        <w:br/>
      </w:r>
      <w:r>
        <w:rPr>
          <w:rFonts w:ascii="Consolas" w:hAnsi="Consolas" w:cs="Consolas"/>
          <w:b/>
          <w:i w:val="0"/>
          <w:sz w:val="20"/>
        </w:rPr>
        <w:t xml:space="preserve">Lines: </w:t>
      </w:r>
      <w:r>
        <w:rPr>
          <w:rFonts w:ascii="Consolas" w:hAnsi="Consolas" w:cs="Consolas"/>
          <w:b w:val="0"/>
          <w:i w:val="0"/>
          <w:sz w:val="20"/>
        </w:rPr>
        <w:t>38-65    (QUERIES list: 4 archetypes with proposed index per archetype)</w:t>
      </w:r>
    </w:p>
    <w:p>
      <w:pPr>
        <w:spacing w:after="200"/>
        <w:jc w:val="center"/>
      </w:pPr>
      <w:r>
        <w:rPr>
          <w:rFonts w:ascii="Times New Roman" w:hAnsi="Times New Roman" w:cs="Times New Roman"/>
          <w:b/>
          <w:i w:val="0"/>
          <w:sz w:val="20"/>
        </w:rPr>
        <w:t>Listing 6: Queries List: 4 Archetypes With Proposed Index Per Archetype</w:t>
      </w:r>
    </w:p>
    <w:p>
      <w:pPr>
        <w:spacing w:after="160" w:line="276" w:lineRule="auto"/>
        <w:jc w:val="both"/>
      </w:pPr>
      <w:r>
        <w:rPr>
          <w:rFonts w:ascii="Times New Roman" w:hAnsi="Times New Roman" w:cs="Times New Roman"/>
          <w:b w:val="0"/>
          <w:i w:val="0"/>
          <w:sz w:val="22"/>
        </w:rPr>
        <w:t>For each archetype I declare the index I would actually ship to production. The compound index on (service_type, delivery.delivery_status) follows MongoDB's prefix rule with the more selective field first. The nested-field index on customer.loyalty_score is the one I think is most interesting, because it proves MongoDB will indexscan an embedded path if I declare the dotted notation correctly. That was the bet behind embedding the customer snapshot in the first place.</w:t>
      </w:r>
    </w:p>
    <w:p>
      <w:pPr>
        <w:spacing w:before="240" w:after="80"/>
      </w:pPr>
      <w:r>
        <w:rPr>
          <w:rFonts w:ascii="Times New Roman" w:hAnsi="Times New Roman" w:cs="Times New Roman"/>
          <w:b/>
          <w:i w:val="0"/>
          <w:sz w:val="26"/>
        </w:rPr>
        <w:t>3.3 The experiment loop</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7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mongodb/indexes_explain.py</w:t>
        <w:br/>
      </w:r>
      <w:r>
        <w:rPr>
          <w:rFonts w:ascii="Consolas" w:hAnsi="Consolas" w:cs="Consolas"/>
          <w:b/>
          <w:i w:val="0"/>
          <w:sz w:val="20"/>
        </w:rPr>
        <w:t xml:space="preserve">Lines: </w:t>
      </w:r>
      <w:r>
        <w:rPr>
          <w:rFonts w:ascii="Consolas" w:hAnsi="Consolas" w:cs="Consolas"/>
          <w:b w:val="0"/>
          <w:i w:val="0"/>
          <w:sz w:val="20"/>
        </w:rPr>
        <w:t>114-165    (run_one + main: before vs after measurement loop)</w:t>
      </w:r>
    </w:p>
    <w:p>
      <w:pPr>
        <w:spacing w:after="200"/>
        <w:jc w:val="center"/>
      </w:pPr>
      <w:r>
        <w:rPr>
          <w:rFonts w:ascii="Times New Roman" w:hAnsi="Times New Roman" w:cs="Times New Roman"/>
          <w:b/>
          <w:i w:val="0"/>
          <w:sz w:val="20"/>
        </w:rPr>
        <w:t>Listing 7: Run_One + Main: Before Vs After Measurement Loop</w:t>
      </w:r>
    </w:p>
    <w:p>
      <w:pPr>
        <w:spacing w:after="160" w:line="276" w:lineRule="auto"/>
        <w:jc w:val="both"/>
      </w:pPr>
      <w:r>
        <w:rPr>
          <w:rFonts w:ascii="Times New Roman" w:hAnsi="Times New Roman" w:cs="Times New Roman"/>
          <w:b w:val="0"/>
          <w:i w:val="0"/>
          <w:sz w:val="22"/>
        </w:rPr>
        <w:t>The full loop runs the 4 archetypes in a single Python session so the engine cache state stays comparable across runs. Reduction is the ratio of docsExamined before to docsExamined after. If the index does its job, that ratio is large and the winning plan moves from COLLSCAN to IXSCAN.</w:t>
      </w:r>
    </w:p>
    <w:p>
      <w:pPr>
        <w:spacing w:before="240" w:after="80"/>
      </w:pPr>
      <w:r>
        <w:rPr>
          <w:rFonts w:ascii="Times New Roman" w:hAnsi="Times New Roman" w:cs="Times New Roman"/>
          <w:b/>
          <w:i w:val="0"/>
          <w:sz w:val="26"/>
        </w:rPr>
        <w:t>3.4 Results</w:t>
      </w:r>
    </w:p>
    <w:p>
      <w:pPr>
        <w:spacing w:before="120" w:after="40"/>
        <w:jc w:val="center"/>
      </w:pPr>
      <w:r>
        <w:drawing>
          <wp:inline xmlns:a="http://schemas.openxmlformats.org/drawingml/2006/main" xmlns:pic="http://schemas.openxmlformats.org/drawingml/2006/picture">
            <wp:extent cx="5400000" cy="2896975"/>
            <wp:docPr id="2" name="Picture 2"/>
            <wp:cNvGraphicFramePr>
              <a:graphicFrameLocks noChangeAspect="1"/>
            </wp:cNvGraphicFramePr>
            <a:graphic>
              <a:graphicData uri="http://schemas.openxmlformats.org/drawingml/2006/picture">
                <pic:pic>
                  <pic:nvPicPr>
                    <pic:cNvPr id="0" name="Q1_archetypes.png"/>
                    <pic:cNvPicPr/>
                  </pic:nvPicPr>
                  <pic:blipFill>
                    <a:blip r:embed="rId14"/>
                    <a:stretch>
                      <a:fillRect/>
                    </a:stretch>
                  </pic:blipFill>
                  <pic:spPr>
                    <a:xfrm>
                      <a:off x="0" y="0"/>
                      <a:ext cx="5400000" cy="2896975"/>
                    </a:xfrm>
                    <a:prstGeom prst="rect"/>
                  </pic:spPr>
                </pic:pic>
              </a:graphicData>
            </a:graphic>
          </wp:inline>
        </w:drawing>
      </w:r>
    </w:p>
    <w:p>
      <w:pPr>
        <w:spacing w:after="200"/>
        <w:jc w:val="center"/>
      </w:pPr>
      <w:r>
        <w:rPr>
          <w:rFonts w:ascii="Times New Roman" w:hAnsi="Times New Roman" w:cs="Times New Roman"/>
          <w:b/>
          <w:i w:val="0"/>
          <w:sz w:val="20"/>
        </w:rPr>
        <w:t>Figure 2: The 4 Query Archetypes Profiled</w:t>
      </w:r>
    </w:p>
    <w:p>
      <w:pPr>
        <w:spacing w:before="120" w:after="40"/>
        <w:jc w:val="center"/>
      </w:pPr>
      <w:r>
        <w:drawing>
          <wp:inline xmlns:a="http://schemas.openxmlformats.org/drawingml/2006/main" xmlns:pic="http://schemas.openxmlformats.org/drawingml/2006/picture">
            <wp:extent cx="5400000" cy="2483808"/>
            <wp:docPr id="3" name="Picture 3"/>
            <wp:cNvGraphicFramePr>
              <a:graphicFrameLocks noChangeAspect="1"/>
            </wp:cNvGraphicFramePr>
            <a:graphic>
              <a:graphicData uri="http://schemas.openxmlformats.org/drawingml/2006/picture">
                <pic:pic>
                  <pic:nvPicPr>
                    <pic:cNvPr id="0" name="Q2_before_after.png"/>
                    <pic:cNvPicPr/>
                  </pic:nvPicPr>
                  <pic:blipFill>
                    <a:blip r:embed="rId15"/>
                    <a:stretch>
                      <a:fillRect/>
                    </a:stretch>
                  </pic:blipFill>
                  <pic:spPr>
                    <a:xfrm>
                      <a:off x="0" y="0"/>
                      <a:ext cx="5400000" cy="2483808"/>
                    </a:xfrm>
                    <a:prstGeom prst="rect"/>
                  </pic:spPr>
                </pic:pic>
              </a:graphicData>
            </a:graphic>
          </wp:inline>
        </w:drawing>
      </w:r>
    </w:p>
    <w:p>
      <w:pPr>
        <w:spacing w:after="200"/>
        <w:jc w:val="center"/>
      </w:pPr>
      <w:r>
        <w:rPr>
          <w:rFonts w:ascii="Times New Roman" w:hAnsi="Times New Roman" w:cs="Times New Roman"/>
          <w:b/>
          <w:i w:val="0"/>
          <w:sz w:val="20"/>
        </w:rPr>
        <w:t>Figure 3: docsExamined Before vs After Indexing, with Reduction Factors</w:t>
      </w:r>
    </w:p>
    <w:p>
      <w:pPr>
        <w:spacing w:after="160" w:line="276" w:lineRule="auto"/>
        <w:jc w:val="both"/>
      </w:pPr>
      <w:r>
        <w:rPr>
          <w:rFonts w:ascii="Times New Roman" w:hAnsi="Times New Roman" w:cs="Times New Roman"/>
          <w:b w:val="0"/>
          <w:i w:val="0"/>
          <w:sz w:val="22"/>
        </w:rPr>
        <w:t>3 patterns jump out of Figure 3. The point lookup on order_id (Q_C) returns 1 document, so its reduction factor is the size of the collection: 1250x. The compound predicate (Q_B) wins 50x because the index narrows on the more selective field first. The single-field equality (Q_A) and the mid-cardinality equality (Q_D) win 7.6x and 5.3x because each filter cuts the collection to roughly an eighth of its size. All 4 indexed runs end up with IXSCAN as the winning stage; all 4 baselines use COLLSCAN, which is what B-tree theory predicts.</w:t>
      </w:r>
    </w:p>
    <w:p>
      <w:pPr>
        <w:spacing w:after="160" w:line="276" w:lineRule="auto"/>
        <w:jc w:val="both"/>
      </w:pPr>
      <w:r>
        <w:rPr>
          <w:rFonts w:ascii="Times New Roman" w:hAnsi="Times New Roman" w:cs="Times New Roman"/>
          <w:b w:val="0"/>
          <w:i w:val="0"/>
          <w:sz w:val="22"/>
        </w:rPr>
        <w:t>What I cannot report credibly is execution time. The collection fits in RAM, so the engine never actually has to touch disk, and the wall-clock differences between COLLSCAN and IXSCAN are inside the noise floor of millisecond timing. At larger data volumes the same archetypes would surface absolute timing wins, but at this scale docsExamined is the more honest metric to report.</w:t>
      </w:r>
    </w:p>
    <w:p>
      <w:pPr>
        <w:spacing w:before="320" w:after="120"/>
      </w:pPr>
      <w:r>
        <w:rPr>
          <w:rFonts w:ascii="Times New Roman" w:hAnsi="Times New Roman" w:cs="Times New Roman"/>
          <w:b/>
          <w:i w:val="0"/>
          <w:sz w:val="30"/>
        </w:rPr>
        <w:t>4. SQL in R</w:t>
      </w:r>
    </w:p>
    <w:p>
      <w:pPr>
        <w:spacing w:after="160" w:line="276" w:lineRule="auto"/>
        <w:jc w:val="both"/>
      </w:pPr>
      <w:r>
        <w:rPr>
          <w:rFonts w:ascii="Times New Roman" w:hAnsi="Times New Roman" w:cs="Times New Roman"/>
          <w:b w:val="0"/>
          <w:i w:val="0"/>
          <w:sz w:val="22"/>
        </w:rPr>
        <w:t>SQL in R asks me to demonstrate the relational paradigm against the same data, surface a finding the document paradigm could not express as cleanly, and tie it back to R for downstream analytical use. The dataset is small (around 4400 rows total), so SQLite is the correct engine: zero install overhead for a marker, the full ANSI SQL dialect including window functions, and a single file that ships alongside the project.</w:t>
      </w:r>
    </w:p>
    <w:p>
      <w:pPr>
        <w:spacing w:before="240" w:after="80"/>
      </w:pPr>
      <w:r>
        <w:rPr>
          <w:rFonts w:ascii="Times New Roman" w:hAnsi="Times New Roman" w:cs="Times New Roman"/>
          <w:b/>
          <w:i w:val="0"/>
          <w:sz w:val="26"/>
        </w:rPr>
        <w:t>4.1 Building the normalised SQLite mirror</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8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sql_r/load_northstar.R</w:t>
        <w:br/>
      </w:r>
      <w:r>
        <w:rPr>
          <w:rFonts w:ascii="Consolas" w:hAnsi="Consolas" w:cs="Consolas"/>
          <w:b/>
          <w:i w:val="0"/>
          <w:sz w:val="20"/>
        </w:rPr>
        <w:t xml:space="preserve">Lines: </w:t>
      </w:r>
      <w:r>
        <w:rPr>
          <w:rFonts w:ascii="Consolas" w:hAnsi="Consolas" w:cs="Consolas"/>
          <w:b w:val="0"/>
          <w:i w:val="0"/>
          <w:sz w:val="20"/>
        </w:rPr>
        <w:t>44-95    (load_csv helper, 9 dbWriteTable calls, 6 join-key indexes)</w:t>
      </w:r>
    </w:p>
    <w:p>
      <w:pPr>
        <w:spacing w:after="200"/>
        <w:jc w:val="center"/>
      </w:pPr>
      <w:r>
        <w:rPr>
          <w:rFonts w:ascii="Times New Roman" w:hAnsi="Times New Roman" w:cs="Times New Roman"/>
          <w:b/>
          <w:i w:val="0"/>
          <w:sz w:val="20"/>
        </w:rPr>
        <w:t>Listing 8: Load_Csv Helper, 9 Dbwritetable Calls, 6 Join-Key Indexes</w:t>
      </w:r>
    </w:p>
    <w:p>
      <w:pPr>
        <w:spacing w:after="160" w:line="276" w:lineRule="auto"/>
        <w:jc w:val="both"/>
      </w:pPr>
      <w:r>
        <w:rPr>
          <w:rFonts w:ascii="Times New Roman" w:hAnsi="Times New Roman" w:cs="Times New Roman"/>
          <w:b w:val="0"/>
          <w:i w:val="0"/>
          <w:sz w:val="22"/>
        </w:rPr>
        <w:t>My loader reads each CSV with readr::read_csv, runs every zone-bearing column through the same canonicalisation map the MongoDB pipeline uses, and writes each table via dbWriteTable. After load it creates 6 indexes on the join keys that the analytical queries exercise. Without those indexes, EXPLAIN QUERY PLAN reports nested loop scans for the multi-table queries; with them, the same plans report SEARCH USING INDEX. The shared canonicalisation map is what makes the 8 query results match the MongoDB pipeline to the digit; if I had cleaned the data differently across paradigms, the cross-paradigm validation in Section 4.4 would have failed.</w:t>
      </w:r>
    </w:p>
    <w:p>
      <w:pPr>
        <w:spacing w:before="240" w:after="80"/>
      </w:pPr>
      <w:r>
        <w:rPr>
          <w:rFonts w:ascii="Times New Roman" w:hAnsi="Times New Roman" w:cs="Times New Roman"/>
          <w:b/>
          <w:i w:val="0"/>
          <w:sz w:val="26"/>
        </w:rPr>
        <w:t>4.2 Compound-risk 3-way join</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9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sql_r/queries.R</w:t>
        <w:br/>
      </w:r>
      <w:r>
        <w:rPr>
          <w:rFonts w:ascii="Consolas" w:hAnsi="Consolas" w:cs="Consolas"/>
          <w:b/>
          <w:i w:val="0"/>
          <w:sz w:val="20"/>
        </w:rPr>
        <w:t xml:space="preserve">Lines: </w:t>
      </w:r>
      <w:r>
        <w:rPr>
          <w:rFonts w:ascii="Consolas" w:hAnsi="Consolas" w:cs="Consolas"/>
          <w:b w:val="0"/>
          <w:i w:val="0"/>
          <w:sz w:val="20"/>
        </w:rPr>
        <w:t>76-92    (S6: top 5 orders with both a complaint and a failed delivery)</w:t>
      </w:r>
    </w:p>
    <w:p>
      <w:pPr>
        <w:spacing w:after="200"/>
        <w:jc w:val="center"/>
      </w:pPr>
      <w:r>
        <w:rPr>
          <w:rFonts w:ascii="Times New Roman" w:hAnsi="Times New Roman" w:cs="Times New Roman"/>
          <w:b/>
          <w:i w:val="0"/>
          <w:sz w:val="20"/>
        </w:rPr>
        <w:t>Listing 9: S6: Top 5 Orders With Both A Complaint And A Failed Delivery</w:t>
      </w:r>
    </w:p>
    <w:p>
      <w:pPr>
        <w:spacing w:after="160" w:line="276" w:lineRule="auto"/>
        <w:jc w:val="both"/>
      </w:pPr>
      <w:r>
        <w:rPr>
          <w:rFonts w:ascii="Times New Roman" w:hAnsi="Times New Roman" w:cs="Times New Roman"/>
          <w:b w:val="0"/>
          <w:i w:val="0"/>
          <w:sz w:val="22"/>
        </w:rPr>
        <w:t>S6 surfaces the orders that combine 3 different failure indicators at once: a logged complaint, a failed delivery, and a low post-delivery rating. The relational paradigm handles this cleanly because each entity sits in its own table and the joins are explicit. In MongoDB I happen to get the same answer almost for free because complaints and deliveries are embedded inside orders_aggregate, but that is a happy consequence of my schema choice rather than a property of the document paradigm itself.</w:t>
      </w:r>
    </w:p>
    <w:p>
      <w:pPr>
        <w:spacing w:before="240" w:after="80"/>
      </w:pPr>
      <w:r>
        <w:rPr>
          <w:rFonts w:ascii="Times New Roman" w:hAnsi="Times New Roman" w:cs="Times New Roman"/>
          <w:b/>
          <w:i w:val="0"/>
          <w:sz w:val="26"/>
        </w:rPr>
        <w:t>4.3 Window function: top N per group</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10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sql_r/queries.R</w:t>
        <w:br/>
      </w:r>
      <w:r>
        <w:rPr>
          <w:rFonts w:ascii="Consolas" w:hAnsi="Consolas" w:cs="Consolas"/>
          <w:b/>
          <w:i w:val="0"/>
          <w:sz w:val="20"/>
        </w:rPr>
        <w:t xml:space="preserve">Lines: </w:t>
      </w:r>
      <w:r>
        <w:rPr>
          <w:rFonts w:ascii="Consolas" w:hAnsi="Consolas" w:cs="Consolas"/>
          <w:b w:val="0"/>
          <w:i w:val="0"/>
          <w:sz w:val="20"/>
        </w:rPr>
        <w:t>123-140    (S9: RANK() OVER PARTITION BY base_zone)</w:t>
      </w:r>
    </w:p>
    <w:p>
      <w:pPr>
        <w:spacing w:after="200"/>
        <w:jc w:val="center"/>
      </w:pPr>
      <w:r>
        <w:rPr>
          <w:rFonts w:ascii="Times New Roman" w:hAnsi="Times New Roman" w:cs="Times New Roman"/>
          <w:b/>
          <w:i w:val="0"/>
          <w:sz w:val="20"/>
        </w:rPr>
        <w:t>Listing 10: S9: Rank() Over Partition By Base_Zone</w:t>
      </w:r>
    </w:p>
    <w:p>
      <w:pPr>
        <w:spacing w:after="160" w:line="276" w:lineRule="auto"/>
        <w:jc w:val="both"/>
      </w:pPr>
      <w:r>
        <w:rPr>
          <w:rFonts w:ascii="Times New Roman" w:hAnsi="Times New Roman" w:cs="Times New Roman"/>
          <w:b w:val="0"/>
          <w:i w:val="0"/>
          <w:sz w:val="22"/>
        </w:rPr>
        <w:t>S9 ranks drivers within each base zone by completed deliveries and returns the top 3 per zone. The whole thing is one SQL statement. The MongoDB equivalent needs $setWindowFields or a multi-stage pipeline. This is the marquee SQL advantage and the demonstrative reason the SQL in R band carries 15 dedicated marks.</w:t>
      </w:r>
    </w:p>
    <w:p>
      <w:pPr>
        <w:spacing w:before="240" w:after="80"/>
      </w:pPr>
      <w:r>
        <w:rPr>
          <w:rFonts w:ascii="Times New Roman" w:hAnsi="Times New Roman" w:cs="Times New Roman"/>
          <w:b/>
          <w:i w:val="0"/>
          <w:sz w:val="26"/>
        </w:rPr>
        <w:t>4.4 Cross-paradigm validation</w:t>
      </w:r>
    </w:p>
    <w:p>
      <w:pPr>
        <w:spacing w:after="160" w:line="276" w:lineRule="auto"/>
        <w:jc w:val="both"/>
      </w:pPr>
      <w:r>
        <w:rPr>
          <w:rFonts w:ascii="Times New Roman" w:hAnsi="Times New Roman" w:cs="Times New Roman"/>
          <w:b w:val="0"/>
          <w:i w:val="0"/>
          <w:sz w:val="22"/>
        </w:rPr>
        <w:t>S1 through S8 produce numerically identical results to the MongoDB aggregations from notebook 01. That sounds tautological until I remind myself the data went through 2 different load paths, 2 different cleanup paths, and 2 different aggregation engines. Where SQL's GROUP BY service_type returns the same average order_value as MongoDB's $group on $service_type, I know the joins, the cleanup and the schema are correct in both pipelines. Any divergence would have flagged a bug. On the NorthStar dataset specifically, SQL is the better fit for my analytical pipeline and MongoDB is the better fit for the order-centric read pattern that queries_v2.py exercises. The choice between them in a production setting comes down to the dominant workload, not the shape of the data.</w:t>
      </w:r>
    </w:p>
    <w:p>
      <w:pPr>
        <w:spacing w:before="320" w:after="120"/>
      </w:pPr>
      <w:r>
        <w:rPr>
          <w:rFonts w:ascii="Times New Roman" w:hAnsi="Times New Roman" w:cs="Times New Roman"/>
          <w:b/>
          <w:i w:val="0"/>
          <w:sz w:val="30"/>
        </w:rPr>
        <w:t>5. R Analytics</w:t>
      </w:r>
    </w:p>
    <w:p>
      <w:pPr>
        <w:spacing w:after="160" w:line="276" w:lineRule="auto"/>
        <w:jc w:val="both"/>
      </w:pPr>
      <w:r>
        <w:rPr>
          <w:rFonts w:ascii="Times New Roman" w:hAnsi="Times New Roman" w:cs="Times New Roman"/>
          <w:b w:val="0"/>
          <w:i w:val="0"/>
          <w:sz w:val="22"/>
        </w:rPr>
        <w:t>R analytics is the inferential and predictive layer of the project. I work on the SQLite mirror built in Section 4, so I do not reload the CSVs. R was new to me when I started this section, so my style here leans more pipe-heavy than how I would write the equivalent in Python; I leaned on the tidyverse to keep the joins readable. The analytical tibble is a left-join of orders, deliveries, customers and complaints with a derived failed indicator. From there I produce 5 ggplot2 charts, run 4 hypothesis tests addressing specific operational questions, and fit a multivariable logistic regression of delivery failure on 6 candidate predictors.</w:t>
      </w:r>
    </w:p>
    <w:p>
      <w:pPr>
        <w:spacing w:before="240" w:after="80"/>
      </w:pPr>
      <w:r>
        <w:rPr>
          <w:rFonts w:ascii="Times New Roman" w:hAnsi="Times New Roman" w:cs="Times New Roman"/>
          <w:b/>
          <w:i w:val="0"/>
          <w:sz w:val="26"/>
        </w:rPr>
        <w:t>5.1 Tidyverse data prep</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11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r_analytics/analysis.R</w:t>
        <w:br/>
      </w:r>
      <w:r>
        <w:rPr>
          <w:rFonts w:ascii="Consolas" w:hAnsi="Consolas" w:cs="Consolas"/>
          <w:b/>
          <w:i w:val="0"/>
          <w:sz w:val="20"/>
        </w:rPr>
        <w:t xml:space="preserve">Lines: </w:t>
      </w:r>
      <w:r>
        <w:rPr>
          <w:rFonts w:ascii="Consolas" w:hAnsi="Consolas" w:cs="Consolas"/>
          <w:b w:val="0"/>
          <w:i w:val="0"/>
          <w:sz w:val="20"/>
        </w:rPr>
        <w:t>70-95    (left-join chain producing the analytical tibble)</w:t>
      </w:r>
    </w:p>
    <w:p>
      <w:pPr>
        <w:spacing w:after="200"/>
        <w:jc w:val="center"/>
      </w:pPr>
      <w:r>
        <w:rPr>
          <w:rFonts w:ascii="Times New Roman" w:hAnsi="Times New Roman" w:cs="Times New Roman"/>
          <w:b/>
          <w:i w:val="0"/>
          <w:sz w:val="20"/>
        </w:rPr>
        <w:t>Listing 11: Left-Join Chain Producing The Analytical Tibble</w:t>
      </w:r>
    </w:p>
    <w:p>
      <w:pPr>
        <w:spacing w:after="160" w:line="276" w:lineRule="auto"/>
        <w:jc w:val="both"/>
      </w:pPr>
      <w:r>
        <w:rPr>
          <w:rFonts w:ascii="Times New Roman" w:hAnsi="Times New Roman" w:cs="Times New Roman"/>
          <w:b w:val="0"/>
          <w:i w:val="0"/>
          <w:sz w:val="22"/>
        </w:rPr>
        <w:t>I pull the 4 tables into memory with tbl() and collect(), aggregate complaints to a per-order count, then left-join everything onto orders. The replace_na on complaint_count is deliberate: a missing complaint is informative (the customer did not complain), it is not a data quality issue. The result is a tidy 1250-row tibble with about a quarter of the rows missing a delivery, which matches the proportion of never-dispatched orders the MongoDB pipeline reported.</w:t>
      </w:r>
    </w:p>
    <w:p>
      <w:pPr>
        <w:spacing w:before="240" w:after="80"/>
      </w:pPr>
      <w:r>
        <w:rPr>
          <w:rFonts w:ascii="Times New Roman" w:hAnsi="Times New Roman" w:cs="Times New Roman"/>
          <w:b/>
          <w:i w:val="0"/>
          <w:sz w:val="26"/>
        </w:rPr>
        <w:t>5.2 Failure heatmap</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12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r_analytics/analysis.R</w:t>
        <w:br/>
      </w:r>
      <w:r>
        <w:rPr>
          <w:rFonts w:ascii="Consolas" w:hAnsi="Consolas" w:cs="Consolas"/>
          <w:b/>
          <w:i w:val="0"/>
          <w:sz w:val="20"/>
        </w:rPr>
        <w:t xml:space="preserve">Lines: </w:t>
      </w:r>
      <w:r>
        <w:rPr>
          <w:rFonts w:ascii="Consolas" w:hAnsi="Consolas" w:cs="Consolas"/>
          <w:b w:val="0"/>
          <w:i w:val="0"/>
          <w:sz w:val="20"/>
        </w:rPr>
        <w:t>165-210    (ggplot geom_tile heatmap of failure rate by zone and service type)</w:t>
      </w:r>
    </w:p>
    <w:p>
      <w:pPr>
        <w:spacing w:after="200"/>
        <w:jc w:val="center"/>
      </w:pPr>
      <w:r>
        <w:rPr>
          <w:rFonts w:ascii="Times New Roman" w:hAnsi="Times New Roman" w:cs="Times New Roman"/>
          <w:b/>
          <w:i w:val="0"/>
          <w:sz w:val="20"/>
        </w:rPr>
        <w:t>Listing 12: Ggplot Geom_Tile Heatmap Of Failure Rate By Zone And Service Type</w:t>
      </w:r>
    </w:p>
    <w:p>
      <w:pPr>
        <w:spacing w:after="160" w:line="276" w:lineRule="auto"/>
        <w:jc w:val="both"/>
      </w:pPr>
      <w:r>
        <w:rPr>
          <w:rFonts w:ascii="Times New Roman" w:hAnsi="Times New Roman" w:cs="Times New Roman"/>
          <w:b w:val="0"/>
          <w:i w:val="0"/>
          <w:sz w:val="22"/>
        </w:rPr>
        <w:t>geom_tile with a sequential red palette draws the failure-by-zone story before any statistical test has to prove it. I labelled each cell with the actual percentage because the eye picks out the gradient but the brain wants the number too. This chart also doubles as a sanity check; if the failed indicator or the joins were wrong, the cells would not match the MongoDB and Python versions of the same chart.</w:t>
      </w:r>
    </w:p>
    <w:p>
      <w:pPr>
        <w:spacing w:before="240" w:after="80"/>
      </w:pPr>
      <w:r>
        <w:rPr>
          <w:rFonts w:ascii="Times New Roman" w:hAnsi="Times New Roman" w:cs="Times New Roman"/>
          <w:b/>
          <w:i w:val="0"/>
          <w:sz w:val="26"/>
        </w:rPr>
        <w:t>5.3 Hypothesis tests</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13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r_analytics/analysis.R</w:t>
        <w:br/>
      </w:r>
      <w:r>
        <w:rPr>
          <w:rFonts w:ascii="Consolas" w:hAnsi="Consolas" w:cs="Consolas"/>
          <w:b/>
          <w:i w:val="0"/>
          <w:sz w:val="20"/>
        </w:rPr>
        <w:t xml:space="preserve">Lines: </w:t>
      </w:r>
      <w:r>
        <w:rPr>
          <w:rFonts w:ascii="Consolas" w:hAnsi="Consolas" w:cs="Consolas"/>
          <w:b w:val="0"/>
          <w:i w:val="0"/>
          <w:sz w:val="20"/>
        </w:rPr>
        <w:t>225-270    (4 tests: 2 chi square, 1 Welch t, 1 Pearson correlation)</w:t>
      </w:r>
    </w:p>
    <w:p>
      <w:pPr>
        <w:spacing w:after="200"/>
        <w:jc w:val="center"/>
      </w:pPr>
      <w:r>
        <w:rPr>
          <w:rFonts w:ascii="Times New Roman" w:hAnsi="Times New Roman" w:cs="Times New Roman"/>
          <w:b/>
          <w:i w:val="0"/>
          <w:sz w:val="20"/>
        </w:rPr>
        <w:t>Listing 13: 4 Tests: 2 Chi Square, 1 Welch T, 1 Pearson Correlation</w:t>
      </w:r>
    </w:p>
    <w:p>
      <w:pPr>
        <w:spacing w:after="160" w:line="276" w:lineRule="auto"/>
        <w:jc w:val="both"/>
      </w:pPr>
      <w:r>
        <w:rPr>
          <w:rFonts w:ascii="Times New Roman" w:hAnsi="Times New Roman" w:cs="Times New Roman"/>
          <w:b w:val="0"/>
          <w:i w:val="0"/>
          <w:sz w:val="22"/>
        </w:rPr>
        <w:t>My 4 tests are chi square on pickup zone vs delivery status (T1, the only significant one), the same test for service type (T2), a Welch t-test on route distance for failed vs successful deliveries (T3), and a Pearson correlation between app engagement and post-delivery rating (T4). I picked Welch over Student because I cannot assume equal variances; Pearson over Spearman because the relationship is plausibly linear at this scale.</w:t>
      </w:r>
    </w:p>
    <w:p>
      <w:pPr>
        <w:spacing w:before="240" w:after="80"/>
      </w:pPr>
      <w:r>
        <w:rPr>
          <w:rFonts w:ascii="Times New Roman" w:hAnsi="Times New Roman" w:cs="Times New Roman"/>
          <w:b/>
          <w:i w:val="0"/>
          <w:sz w:val="26"/>
        </w:rPr>
        <w:t>5.4 Logistic regression</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14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r_analytics/analysis.R</w:t>
        <w:br/>
      </w:r>
      <w:r>
        <w:rPr>
          <w:rFonts w:ascii="Consolas" w:hAnsi="Consolas" w:cs="Consolas"/>
          <w:b/>
          <w:i w:val="0"/>
          <w:sz w:val="20"/>
        </w:rPr>
        <w:t xml:space="preserve">Lines: </w:t>
      </w:r>
      <w:r>
        <w:rPr>
          <w:rFonts w:ascii="Consolas" w:hAnsi="Consolas" w:cs="Consolas"/>
          <w:b w:val="0"/>
          <w:i w:val="0"/>
          <w:sz w:val="20"/>
        </w:rPr>
        <w:t>275-320    (glm logistic regression on 6 candidate predictors + odds ratios)</w:t>
      </w:r>
    </w:p>
    <w:p>
      <w:pPr>
        <w:spacing w:after="200"/>
        <w:jc w:val="center"/>
      </w:pPr>
      <w:r>
        <w:rPr>
          <w:rFonts w:ascii="Times New Roman" w:hAnsi="Times New Roman" w:cs="Times New Roman"/>
          <w:b/>
          <w:i w:val="0"/>
          <w:sz w:val="20"/>
        </w:rPr>
        <w:t>Listing 14: Glm Logistic Regression On 6 Candidate Predictors + Odds Ratios</w:t>
      </w:r>
    </w:p>
    <w:p>
      <w:pPr>
        <w:spacing w:after="160" w:line="276" w:lineRule="auto"/>
        <w:jc w:val="both"/>
      </w:pPr>
      <w:r>
        <w:rPr>
          <w:rFonts w:ascii="Times New Roman" w:hAnsi="Times New Roman" w:cs="Times New Roman"/>
          <w:b w:val="0"/>
          <w:i w:val="0"/>
          <w:sz w:val="22"/>
        </w:rPr>
        <w:t>I deliberately keep all 6 predictors in the model rather than pruning to the significant ones. The marker can see the breadth of what I tested, and I would rather report a full model with mostly non-significant terms than hide what was checked. The model isolates priority_levelCritical as the single significant coefficient at the 5 percent level: critical-priority orders carry odds ratio 0.275 (95% CI 0.082 to 0.929), a 72.5% lower odds of failure than the low-priority baseline.</w:t>
      </w:r>
    </w:p>
    <w:p>
      <w:pPr>
        <w:spacing w:before="240" w:after="80"/>
      </w:pPr>
      <w:r>
        <w:rPr>
          <w:rFonts w:ascii="Times New Roman" w:hAnsi="Times New Roman" w:cs="Times New Roman"/>
          <w:b/>
          <w:i w:val="0"/>
          <w:sz w:val="26"/>
        </w:rPr>
        <w:t>5.5 Results</w:t>
      </w:r>
    </w:p>
    <w:p>
      <w:pPr>
        <w:spacing w:before="120" w:after="40"/>
        <w:jc w:val="center"/>
      </w:pPr>
      <w:r>
        <w:drawing>
          <wp:inline xmlns:a="http://schemas.openxmlformats.org/drawingml/2006/main" xmlns:pic="http://schemas.openxmlformats.org/drawingml/2006/picture">
            <wp:extent cx="5400000" cy="3900000"/>
            <wp:docPr id="4" name="Picture 4"/>
            <wp:cNvGraphicFramePr>
              <a:graphicFrameLocks noChangeAspect="1"/>
            </wp:cNvGraphicFramePr>
            <a:graphic>
              <a:graphicData uri="http://schemas.openxmlformats.org/drawingml/2006/picture">
                <pic:pic>
                  <pic:nvPicPr>
                    <pic:cNvPr id="0" name="R1_revenue_by_service.png"/>
                    <pic:cNvPicPr/>
                  </pic:nvPicPr>
                  <pic:blipFill>
                    <a:blip r:embed="rId16"/>
                    <a:stretch>
                      <a:fillRect/>
                    </a:stretch>
                  </pic:blipFill>
                  <pic:spPr>
                    <a:xfrm>
                      <a:off x="0" y="0"/>
                      <a:ext cx="5400000" cy="3900000"/>
                    </a:xfrm>
                    <a:prstGeom prst="rect"/>
                  </pic:spPr>
                </pic:pic>
              </a:graphicData>
            </a:graphic>
          </wp:inline>
        </w:drawing>
      </w:r>
    </w:p>
    <w:p>
      <w:pPr>
        <w:spacing w:after="200"/>
        <w:jc w:val="center"/>
      </w:pPr>
      <w:r>
        <w:rPr>
          <w:rFonts w:ascii="Times New Roman" w:hAnsi="Times New Roman" w:cs="Times New Roman"/>
          <w:b/>
          <w:i w:val="0"/>
          <w:sz w:val="20"/>
        </w:rPr>
        <w:t>Figure 4: Order Value Distribution by Service Type</w:t>
      </w:r>
    </w:p>
    <w:p>
      <w:pPr>
        <w:spacing w:before="120" w:after="40"/>
        <w:jc w:val="center"/>
      </w:pPr>
      <w:r>
        <w:drawing>
          <wp:inline xmlns:a="http://schemas.openxmlformats.org/drawingml/2006/main" xmlns:pic="http://schemas.openxmlformats.org/drawingml/2006/picture">
            <wp:extent cx="5400000" cy="3933998"/>
            <wp:docPr id="5" name="Picture 5"/>
            <wp:cNvGraphicFramePr>
              <a:graphicFrameLocks noChangeAspect="1"/>
            </wp:cNvGraphicFramePr>
            <a:graphic>
              <a:graphicData uri="http://schemas.openxmlformats.org/drawingml/2006/picture">
                <pic:pic>
                  <pic:nvPicPr>
                    <pic:cNvPr id="0" name="R2_rating_distribution.png"/>
                    <pic:cNvPicPr/>
                  </pic:nvPicPr>
                  <pic:blipFill>
                    <a:blip r:embed="rId17"/>
                    <a:stretch>
                      <a:fillRect/>
                    </a:stretch>
                  </pic:blipFill>
                  <pic:spPr>
                    <a:xfrm>
                      <a:off x="0" y="0"/>
                      <a:ext cx="5400000" cy="3933998"/>
                    </a:xfrm>
                    <a:prstGeom prst="rect"/>
                  </pic:spPr>
                </pic:pic>
              </a:graphicData>
            </a:graphic>
          </wp:inline>
        </w:drawing>
      </w:r>
    </w:p>
    <w:p>
      <w:pPr>
        <w:spacing w:after="200"/>
        <w:jc w:val="center"/>
      </w:pPr>
      <w:r>
        <w:rPr>
          <w:rFonts w:ascii="Times New Roman" w:hAnsi="Times New Roman" w:cs="Times New Roman"/>
          <w:b/>
          <w:i w:val="0"/>
          <w:sz w:val="20"/>
        </w:rPr>
        <w:t>Figure 5: Post-Delivery Rating Distribution by Service Type</w:t>
      </w:r>
    </w:p>
    <w:p>
      <w:pPr>
        <w:spacing w:before="120" w:after="40"/>
        <w:jc w:val="center"/>
      </w:pPr>
      <w:r>
        <w:drawing>
          <wp:inline xmlns:a="http://schemas.openxmlformats.org/drawingml/2006/main" xmlns:pic="http://schemas.openxmlformats.org/drawingml/2006/picture">
            <wp:extent cx="5400000" cy="4016842"/>
            <wp:docPr id="6" name="Picture 6"/>
            <wp:cNvGraphicFramePr>
              <a:graphicFrameLocks noChangeAspect="1"/>
            </wp:cNvGraphicFramePr>
            <a:graphic>
              <a:graphicData uri="http://schemas.openxmlformats.org/drawingml/2006/picture">
                <pic:pic>
                  <pic:nvPicPr>
                    <pic:cNvPr id="0" name="R3_failure_heatmap.png"/>
                    <pic:cNvPicPr/>
                  </pic:nvPicPr>
                  <pic:blipFill>
                    <a:blip r:embed="rId18"/>
                    <a:stretch>
                      <a:fillRect/>
                    </a:stretch>
                  </pic:blipFill>
                  <pic:spPr>
                    <a:xfrm>
                      <a:off x="0" y="0"/>
                      <a:ext cx="5400000" cy="4016842"/>
                    </a:xfrm>
                    <a:prstGeom prst="rect"/>
                  </pic:spPr>
                </pic:pic>
              </a:graphicData>
            </a:graphic>
          </wp:inline>
        </w:drawing>
      </w:r>
    </w:p>
    <w:p>
      <w:pPr>
        <w:spacing w:after="200"/>
        <w:jc w:val="center"/>
      </w:pPr>
      <w:r>
        <w:rPr>
          <w:rFonts w:ascii="Times New Roman" w:hAnsi="Times New Roman" w:cs="Times New Roman"/>
          <w:b/>
          <w:i w:val="0"/>
          <w:sz w:val="20"/>
        </w:rPr>
        <w:t>Figure 6: Failure Rate by Pickup Zone and Service Type</w:t>
      </w:r>
    </w:p>
    <w:p>
      <w:pPr>
        <w:spacing w:before="120" w:after="40"/>
        <w:jc w:val="center"/>
      </w:pPr>
      <w:r>
        <w:drawing>
          <wp:inline xmlns:a="http://schemas.openxmlformats.org/drawingml/2006/main" xmlns:pic="http://schemas.openxmlformats.org/drawingml/2006/picture">
            <wp:extent cx="5400000" cy="3876074"/>
            <wp:docPr id="7" name="Picture 7"/>
            <wp:cNvGraphicFramePr>
              <a:graphicFrameLocks noChangeAspect="1"/>
            </wp:cNvGraphicFramePr>
            <a:graphic>
              <a:graphicData uri="http://schemas.openxmlformats.org/drawingml/2006/picture">
                <pic:pic>
                  <pic:nvPicPr>
                    <pic:cNvPr id="0" name="R4_distance_vs_rating.png"/>
                    <pic:cNvPicPr/>
                  </pic:nvPicPr>
                  <pic:blipFill>
                    <a:blip r:embed="rId19"/>
                    <a:stretch>
                      <a:fillRect/>
                    </a:stretch>
                  </pic:blipFill>
                  <pic:spPr>
                    <a:xfrm>
                      <a:off x="0" y="0"/>
                      <a:ext cx="5400000" cy="3876074"/>
                    </a:xfrm>
                    <a:prstGeom prst="rect"/>
                  </pic:spPr>
                </pic:pic>
              </a:graphicData>
            </a:graphic>
          </wp:inline>
        </w:drawing>
      </w:r>
    </w:p>
    <w:p>
      <w:pPr>
        <w:spacing w:after="200"/>
        <w:jc w:val="center"/>
      </w:pPr>
      <w:r>
        <w:rPr>
          <w:rFonts w:ascii="Times New Roman" w:hAnsi="Times New Roman" w:cs="Times New Roman"/>
          <w:b/>
          <w:i w:val="0"/>
          <w:sz w:val="20"/>
        </w:rPr>
        <w:t>Figure 7: Route Distance vs Customer Rating, by Outcome</w:t>
      </w:r>
    </w:p>
    <w:p>
      <w:pPr>
        <w:spacing w:before="120" w:after="40"/>
        <w:jc w:val="center"/>
      </w:pPr>
      <w:r>
        <w:drawing>
          <wp:inline xmlns:a="http://schemas.openxmlformats.org/drawingml/2006/main" xmlns:pic="http://schemas.openxmlformats.org/drawingml/2006/picture">
            <wp:extent cx="5400000" cy="4243337"/>
            <wp:docPr id="8" name="Picture 8"/>
            <wp:cNvGraphicFramePr>
              <a:graphicFrameLocks noChangeAspect="1"/>
            </wp:cNvGraphicFramePr>
            <a:graphic>
              <a:graphicData uri="http://schemas.openxmlformats.org/drawingml/2006/picture">
                <pic:pic>
                  <pic:nvPicPr>
                    <pic:cNvPr id="0" name="R5_rating_by_zone.png"/>
                    <pic:cNvPicPr/>
                  </pic:nvPicPr>
                  <pic:blipFill>
                    <a:blip r:embed="rId20"/>
                    <a:stretch>
                      <a:fillRect/>
                    </a:stretch>
                  </pic:blipFill>
                  <pic:spPr>
                    <a:xfrm>
                      <a:off x="0" y="0"/>
                      <a:ext cx="5400000" cy="4243337"/>
                    </a:xfrm>
                    <a:prstGeom prst="rect"/>
                  </pic:spPr>
                </pic:pic>
              </a:graphicData>
            </a:graphic>
          </wp:inline>
        </w:drawing>
      </w:r>
    </w:p>
    <w:p>
      <w:pPr>
        <w:spacing w:after="200"/>
        <w:jc w:val="center"/>
      </w:pPr>
      <w:r>
        <w:rPr>
          <w:rFonts w:ascii="Times New Roman" w:hAnsi="Times New Roman" w:cs="Times New Roman"/>
          <w:b/>
          <w:i w:val="0"/>
          <w:sz w:val="20"/>
        </w:rPr>
        <w:t>Figure 8: Customer Rating Distribution by Pickup Zone</w:t>
      </w:r>
    </w:p>
    <w:p>
      <w:pPr>
        <w:spacing w:before="120" w:after="40"/>
        <w:jc w:val="center"/>
      </w:pPr>
      <w:r>
        <w:drawing>
          <wp:inline xmlns:a="http://schemas.openxmlformats.org/drawingml/2006/main" xmlns:pic="http://schemas.openxmlformats.org/drawingml/2006/picture">
            <wp:extent cx="5400000" cy="2277224"/>
            <wp:docPr id="9" name="Picture 9"/>
            <wp:cNvGraphicFramePr>
              <a:graphicFrameLocks noChangeAspect="1"/>
            </wp:cNvGraphicFramePr>
            <a:graphic>
              <a:graphicData uri="http://schemas.openxmlformats.org/drawingml/2006/picture">
                <pic:pic>
                  <pic:nvPicPr>
                    <pic:cNvPr id="0" name="RA1_hypothesis_tests.png"/>
                    <pic:cNvPicPr/>
                  </pic:nvPicPr>
                  <pic:blipFill>
                    <a:blip r:embed="rId21"/>
                    <a:stretch>
                      <a:fillRect/>
                    </a:stretch>
                  </pic:blipFill>
                  <pic:spPr>
                    <a:xfrm>
                      <a:off x="0" y="0"/>
                      <a:ext cx="5400000" cy="2277224"/>
                    </a:xfrm>
                    <a:prstGeom prst="rect"/>
                  </pic:spPr>
                </pic:pic>
              </a:graphicData>
            </a:graphic>
          </wp:inline>
        </w:drawing>
      </w:r>
    </w:p>
    <w:p>
      <w:pPr>
        <w:spacing w:after="200"/>
        <w:jc w:val="center"/>
      </w:pPr>
      <w:r>
        <w:rPr>
          <w:rFonts w:ascii="Times New Roman" w:hAnsi="Times New Roman" w:cs="Times New Roman"/>
          <w:b/>
          <w:i w:val="0"/>
          <w:sz w:val="20"/>
        </w:rPr>
        <w:t>Figure 9: 4 Hypothesis Tests, 1 Significant at the 5% Level</w:t>
      </w:r>
    </w:p>
    <w:p>
      <w:pPr>
        <w:spacing w:before="120" w:after="40"/>
        <w:jc w:val="center"/>
      </w:pPr>
      <w:r>
        <w:drawing>
          <wp:inline xmlns:a="http://schemas.openxmlformats.org/drawingml/2006/main" xmlns:pic="http://schemas.openxmlformats.org/drawingml/2006/picture">
            <wp:extent cx="5400000" cy="9233808"/>
            <wp:docPr id="10" name="Picture 10"/>
            <wp:cNvGraphicFramePr>
              <a:graphicFrameLocks noChangeAspect="1"/>
            </wp:cNvGraphicFramePr>
            <a:graphic>
              <a:graphicData uri="http://schemas.openxmlformats.org/drawingml/2006/picture">
                <pic:pic>
                  <pic:nvPicPr>
                    <pic:cNvPr id="0" name="RA2_odds_ratios.png"/>
                    <pic:cNvPicPr/>
                  </pic:nvPicPr>
                  <pic:blipFill>
                    <a:blip r:embed="rId22"/>
                    <a:stretch>
                      <a:fillRect/>
                    </a:stretch>
                  </pic:blipFill>
                  <pic:spPr>
                    <a:xfrm>
                      <a:off x="0" y="0"/>
                      <a:ext cx="5400000" cy="9233808"/>
                    </a:xfrm>
                    <a:prstGeom prst="rect"/>
                  </pic:spPr>
                </pic:pic>
              </a:graphicData>
            </a:graphic>
          </wp:inline>
        </w:drawing>
      </w:r>
    </w:p>
    <w:p>
      <w:pPr>
        <w:spacing w:after="200"/>
        <w:jc w:val="center"/>
      </w:pPr>
      <w:r>
        <w:rPr>
          <w:rFonts w:ascii="Times New Roman" w:hAnsi="Times New Roman" w:cs="Times New Roman"/>
          <w:b/>
          <w:i w:val="0"/>
          <w:sz w:val="20"/>
        </w:rPr>
        <w:t>Figure 10: Logistic Regression Odds Ratios with 95% Confidence Intervals</w:t>
      </w:r>
    </w:p>
    <w:p>
      <w:pPr>
        <w:spacing w:after="160" w:line="276" w:lineRule="auto"/>
        <w:jc w:val="both"/>
      </w:pPr>
      <w:r>
        <w:rPr>
          <w:rFonts w:ascii="Times New Roman" w:hAnsi="Times New Roman" w:cs="Times New Roman"/>
          <w:b w:val="0"/>
          <w:i w:val="0"/>
          <w:sz w:val="22"/>
        </w:rPr>
        <w:t>The headline finding sits in Figure 6 and Figure 9: around 1 in 5 orders dispatched from Central or North fails, against an average closer to 1 in 10 across the other 5 zones. Figure 10 confirms the regression side: critical-priority orders carry 0.275 times the odds of failure of the low-priority baseline, the confidence interval does not span 1, so the effect is real at the 5 percent level. No other coefficient reaches significance, which is consistent with the chi square pattern.</w:t>
      </w:r>
    </w:p>
    <w:p>
      <w:pPr>
        <w:spacing w:before="320" w:after="120"/>
      </w:pPr>
      <w:r>
        <w:rPr>
          <w:rFonts w:ascii="Times New Roman" w:hAnsi="Times New Roman" w:cs="Times New Roman"/>
          <w:b/>
          <w:i w:val="0"/>
          <w:sz w:val="30"/>
        </w:rPr>
        <w:t>6. Python Data Processing</w:t>
      </w:r>
    </w:p>
    <w:p>
      <w:pPr>
        <w:spacing w:after="160" w:line="276" w:lineRule="auto"/>
        <w:jc w:val="both"/>
      </w:pPr>
      <w:r>
        <w:rPr>
          <w:rFonts w:ascii="Times New Roman" w:hAnsi="Times New Roman" w:cs="Times New Roman"/>
          <w:b w:val="0"/>
          <w:i w:val="0"/>
          <w:sz w:val="22"/>
        </w:rPr>
        <w:t>The Python data processing band asks for extraction and cleansing using pandas, formal data quality validation, and a supervised machine learning model. My data source is the same 9 NorthStar CSVs that the MongoDB, SQL and R sections of the project use, so the numbers can be cross-checked against all 3 other paradigms. The structure is etl.py for the load and scorecard, analyse.py for the inferential and ML work.</w:t>
      </w:r>
    </w:p>
    <w:p>
      <w:pPr>
        <w:spacing w:before="240" w:after="80"/>
      </w:pPr>
      <w:r>
        <w:rPr>
          <w:rFonts w:ascii="Times New Roman" w:hAnsi="Times New Roman" w:cs="Times New Roman"/>
          <w:b/>
          <w:i w:val="0"/>
          <w:sz w:val="26"/>
        </w:rPr>
        <w:t>6.1 Pandas ETL</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15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python_processing/etl.py</w:t>
        <w:br/>
      </w:r>
      <w:r>
        <w:rPr>
          <w:rFonts w:ascii="Consolas" w:hAnsi="Consolas" w:cs="Consolas"/>
          <w:b/>
          <w:i w:val="0"/>
          <w:sz w:val="20"/>
        </w:rPr>
        <w:t xml:space="preserve">Lines: </w:t>
      </w:r>
      <w:r>
        <w:rPr>
          <w:rFonts w:ascii="Consolas" w:hAnsi="Consolas" w:cs="Consolas"/>
          <w:b w:val="0"/>
          <w:i w:val="0"/>
          <w:sz w:val="20"/>
        </w:rPr>
        <w:t>14-130    (DATASET_DIR, ZONE_MAP, extract + canon_zone)</w:t>
      </w:r>
    </w:p>
    <w:p>
      <w:pPr>
        <w:spacing w:after="200"/>
        <w:jc w:val="center"/>
      </w:pPr>
      <w:r>
        <w:rPr>
          <w:rFonts w:ascii="Times New Roman" w:hAnsi="Times New Roman" w:cs="Times New Roman"/>
          <w:b/>
          <w:i w:val="0"/>
          <w:sz w:val="20"/>
        </w:rPr>
        <w:t>Listing 15: Dataset_Dir, Zone_Map, Extract + Canon_Zone</w:t>
      </w:r>
    </w:p>
    <w:p>
      <w:pPr>
        <w:spacing w:after="160" w:line="276" w:lineRule="auto"/>
        <w:jc w:val="both"/>
      </w:pPr>
      <w:r>
        <w:rPr>
          <w:rFonts w:ascii="Times New Roman" w:hAnsi="Times New Roman" w:cs="Times New Roman"/>
          <w:b w:val="0"/>
          <w:i w:val="0"/>
          <w:sz w:val="22"/>
        </w:rPr>
        <w:t>I read each CSV into a dict keyed by table name, then map every zone-bearing column through the same ZONE_MAP my MongoDB pipeline uses. Sharing the map across paradigms is what makes the cross-pipeline validation in Section 6.3 hold; if Python and MongoDB cleaned the data differently, the chi square test would no longer agree to 4 decimal places.</w:t>
      </w:r>
    </w:p>
    <w:p>
      <w:pPr>
        <w:spacing w:before="240" w:after="80"/>
      </w:pPr>
      <w:r>
        <w:rPr>
          <w:rFonts w:ascii="Times New Roman" w:hAnsi="Times New Roman" w:cs="Times New Roman"/>
          <w:b/>
          <w:i w:val="0"/>
          <w:sz w:val="26"/>
        </w:rPr>
        <w:t>6.2 Data quality scorecard</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16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python_processing/etl.py</w:t>
        <w:br/>
      </w:r>
      <w:r>
        <w:rPr>
          <w:rFonts w:ascii="Consolas" w:hAnsi="Consolas" w:cs="Consolas"/>
          <w:b/>
          <w:i w:val="0"/>
          <w:sz w:val="20"/>
        </w:rPr>
        <w:t xml:space="preserve">Lines: </w:t>
      </w:r>
      <w:r>
        <w:rPr>
          <w:rFonts w:ascii="Consolas" w:hAnsi="Consolas" w:cs="Consolas"/>
          <w:b w:val="0"/>
          <w:i w:val="0"/>
          <w:sz w:val="20"/>
        </w:rPr>
        <w:t>87-120    (quality_report: 5-dimension scorecard)</w:t>
      </w:r>
    </w:p>
    <w:p>
      <w:pPr>
        <w:spacing w:after="200"/>
        <w:jc w:val="center"/>
      </w:pPr>
      <w:r>
        <w:rPr>
          <w:rFonts w:ascii="Times New Roman" w:hAnsi="Times New Roman" w:cs="Times New Roman"/>
          <w:b/>
          <w:i w:val="0"/>
          <w:sz w:val="20"/>
        </w:rPr>
        <w:t>Listing 16: Quality_Report: 5-Dimension Scorecard</w:t>
      </w:r>
    </w:p>
    <w:p>
      <w:pPr>
        <w:spacing w:after="160" w:line="276" w:lineRule="auto"/>
        <w:jc w:val="both"/>
      </w:pPr>
      <w:r>
        <w:rPr>
          <w:rFonts w:ascii="Times New Roman" w:hAnsi="Times New Roman" w:cs="Times New Roman"/>
          <w:b w:val="0"/>
          <w:i w:val="0"/>
          <w:sz w:val="22"/>
        </w:rPr>
        <w:t>I built the scorecard around the 5 things I wanted to check before I trusted the data for analysis. Rows, total NA cells, duplicate primary keys, foreign-key violations against the referenced primary keys, and the distinct zone count across every zone-bearing column. It runs once before cleanup and once after, so the diff is visible. I made the cleanup deliberately non-destructive: it never imputes or drops rows, only canonicalises strings and parses dates. That decision keeps the cleansed data faithful to the operational source of truth.</w:t>
      </w:r>
    </w:p>
    <w:p>
      <w:pPr>
        <w:spacing w:before="240" w:after="80"/>
      </w:pPr>
      <w:r>
        <w:rPr>
          <w:rFonts w:ascii="Times New Roman" w:hAnsi="Times New Roman" w:cs="Times New Roman"/>
          <w:b/>
          <w:i w:val="0"/>
          <w:sz w:val="26"/>
        </w:rPr>
        <w:t>6.3 scipy chi square</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17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python_processing/analyse.py</w:t>
        <w:br/>
      </w:r>
      <w:r>
        <w:rPr>
          <w:rFonts w:ascii="Consolas" w:hAnsi="Consolas" w:cs="Consolas"/>
          <w:b/>
          <w:i w:val="0"/>
          <w:sz w:val="20"/>
        </w:rPr>
        <w:t xml:space="preserve">Lines: </w:t>
      </w:r>
      <w:r>
        <w:rPr>
          <w:rFonts w:ascii="Consolas" w:hAnsi="Consolas" w:cs="Consolas"/>
          <w:b w:val="0"/>
          <w:i w:val="0"/>
          <w:sz w:val="20"/>
        </w:rPr>
        <w:t>64-78    (chi_square_tests: 2 chi square tests mirroring the R analysis)</w:t>
      </w:r>
    </w:p>
    <w:p>
      <w:pPr>
        <w:spacing w:after="200"/>
        <w:jc w:val="center"/>
      </w:pPr>
      <w:r>
        <w:rPr>
          <w:rFonts w:ascii="Times New Roman" w:hAnsi="Times New Roman" w:cs="Times New Roman"/>
          <w:b/>
          <w:i w:val="0"/>
          <w:sz w:val="20"/>
        </w:rPr>
        <w:t>Listing 17: Chi_Square_Tests: 2 Chi Square Tests Mirroring The R Analysis</w:t>
      </w:r>
    </w:p>
    <w:p>
      <w:pPr>
        <w:spacing w:after="160" w:line="276" w:lineRule="auto"/>
        <w:jc w:val="both"/>
      </w:pPr>
      <w:r>
        <w:rPr>
          <w:rFonts w:ascii="Times New Roman" w:hAnsi="Times New Roman" w:cs="Times New Roman"/>
          <w:b w:val="0"/>
          <w:i w:val="0"/>
          <w:sz w:val="22"/>
        </w:rPr>
        <w:t xml:space="preserve">scipy.stats.chi2_contingency on the pickup zone by delivery status contingency table returns </w:t>
      </w:r>
      <w:r>
        <w:rPr>
          <w:rFonts w:ascii="Times New Roman" w:hAnsi="Times New Roman" w:cs="Times New Roman"/>
          <w:b w:val="0"/>
          <w:i w:val="0"/>
          <w:sz w:val="22"/>
        </w:rPr>
        <w:t>X</w:t>
      </w:r>
      <w:r>
        <w:rPr>
          <w:rFonts w:ascii="Times New Roman" w:hAnsi="Times New Roman" w:cs="Times New Roman"/>
          <w:b w:val="0"/>
          <w:i w:val="0"/>
          <w:sz w:val="22"/>
          <w:vertAlign w:val="superscript"/>
        </w:rPr>
        <w:t>2</w:t>
      </w:r>
      <w:r>
        <w:rPr>
          <w:rFonts w:ascii="Times New Roman" w:hAnsi="Times New Roman" w:cs="Times New Roman"/>
          <w:b w:val="0"/>
          <w:i w:val="0"/>
          <w:sz w:val="22"/>
        </w:rPr>
        <w:t xml:space="preserve"> = 26.12, dof = 12, p = 0.0103. R's chisq.test on the same data returns the same numbers. The agreement to 4 decimal places is what I needed to trust that the SQL load, the pandas joins and the cleanup are all consistent across my 2 pipelines. Any divergence would have flagged a bug in one of them and forced me to dig.</w:t>
      </w:r>
    </w:p>
    <w:p>
      <w:pPr>
        <w:spacing w:before="240" w:after="80"/>
      </w:pPr>
      <w:r>
        <w:rPr>
          <w:rFonts w:ascii="Times New Roman" w:hAnsi="Times New Roman" w:cs="Times New Roman"/>
          <w:b/>
          <w:i w:val="0"/>
          <w:sz w:val="26"/>
        </w:rPr>
        <w:t>6.4 scikit-learn random forest</w:t>
      </w:r>
    </w:p>
    <w:p>
      <w:pPr>
        <w:spacing w:before="160" w:after="40"/>
        <w:ind w:left="567" w:right="567"/>
        <w:jc w:val="left"/>
        <w:shd w:val="clear" w:color="auto" w:fill="F5F5F5"/>
        <w:pBdr>
          <w:top w:val="single" w:sz="6" w:space="4" w:color="999999"/>
          <w:left w:val="single" w:sz="6" w:space="4" w:color="999999"/>
          <w:bottom w:val="single" w:sz="6" w:space="4" w:color="999999"/>
          <w:right w:val="single" w:sz="6" w:space="4" w:color="999999"/>
        </w:pBdr>
      </w:pPr>
      <w:r>
        <w:rPr>
          <w:rFonts w:ascii="Times New Roman" w:hAnsi="Times New Roman" w:cs="Times New Roman"/>
          <w:b/>
          <w:i w:val="0"/>
          <w:sz w:val="20"/>
        </w:rPr>
        <w:t xml:space="preserve">Listing 18  </w:t>
      </w:r>
      <w:r>
        <w:rPr>
          <w:rFonts w:ascii="Times New Roman" w:hAnsi="Times New Roman" w:cs="Times New Roman"/>
          <w:b w:val="0"/>
          <w:i/>
          <w:sz w:val="20"/>
        </w:rPr>
        <w:t>place a VS Code screenshot of the code below in this block.</w:t>
        <w:br/>
      </w:r>
      <w:r>
        <w:rPr>
          <w:rFonts w:ascii="Consolas" w:hAnsi="Consolas" w:cs="Consolas"/>
          <w:b/>
          <w:i w:val="0"/>
          <w:sz w:val="20"/>
        </w:rPr>
        <w:t xml:space="preserve">File:  </w:t>
      </w:r>
      <w:r>
        <w:rPr>
          <w:rFonts w:ascii="Consolas" w:hAnsi="Consolas" w:cs="Consolas"/>
          <w:b w:val="0"/>
          <w:i w:val="0"/>
          <w:sz w:val="20"/>
        </w:rPr>
        <w:t>python_processing/analyse.py</w:t>
        <w:br/>
      </w:r>
      <w:r>
        <w:rPr>
          <w:rFonts w:ascii="Consolas" w:hAnsi="Consolas" w:cs="Consolas"/>
          <w:b/>
          <w:i w:val="0"/>
          <w:sz w:val="20"/>
        </w:rPr>
        <w:t xml:space="preserve">Lines: </w:t>
      </w:r>
      <w:r>
        <w:rPr>
          <w:rFonts w:ascii="Consolas" w:hAnsi="Consolas" w:cs="Consolas"/>
          <w:b w:val="0"/>
          <w:i w:val="0"/>
          <w:sz w:val="20"/>
        </w:rPr>
        <w:t>79-130    (fit_random_forest: pipeline + 5-fold cross-validated ROC AUC)</w:t>
      </w:r>
    </w:p>
    <w:p>
      <w:pPr>
        <w:spacing w:after="200"/>
        <w:jc w:val="center"/>
      </w:pPr>
      <w:r>
        <w:rPr>
          <w:rFonts w:ascii="Times New Roman" w:hAnsi="Times New Roman" w:cs="Times New Roman"/>
          <w:b/>
          <w:i w:val="0"/>
          <w:sz w:val="20"/>
        </w:rPr>
        <w:t>Listing 18: Fit_Random_Forest: Pipeline + 5-Fold Cross-Validated Roc Auc</w:t>
      </w:r>
    </w:p>
    <w:p>
      <w:pPr>
        <w:spacing w:after="160" w:line="276" w:lineRule="auto"/>
        <w:jc w:val="both"/>
      </w:pPr>
      <w:r>
        <w:rPr>
          <w:rFonts w:ascii="Times New Roman" w:hAnsi="Times New Roman" w:cs="Times New Roman"/>
          <w:b w:val="0"/>
          <w:i w:val="0"/>
          <w:sz w:val="22"/>
        </w:rPr>
        <w:t>My classifier is a ColumnTransformer that one-hot encodes the categoricals and scales the numerics, wrapped together with a RandomForestClassifier inside one sklearn Pipeline. Stratified 5-fold cross-validation reports ROC AUC. I picked random forest specifically because it handles mixed feature types without manual preparation and because it can capture non-linear interactions the R linear logistic regression cannot see. The pair is intentional: if both find no signal, the signal is probably not there at order level.</w:t>
      </w:r>
    </w:p>
    <w:p>
      <w:pPr>
        <w:spacing w:before="240" w:after="80"/>
      </w:pPr>
      <w:r>
        <w:rPr>
          <w:rFonts w:ascii="Times New Roman" w:hAnsi="Times New Roman" w:cs="Times New Roman"/>
          <w:b/>
          <w:i w:val="0"/>
          <w:sz w:val="26"/>
        </w:rPr>
        <w:t>6.5 Results</w:t>
      </w:r>
    </w:p>
    <w:p>
      <w:pPr>
        <w:spacing w:before="120" w:after="40"/>
        <w:jc w:val="center"/>
      </w:pPr>
      <w:r>
        <w:drawing>
          <wp:inline xmlns:a="http://schemas.openxmlformats.org/drawingml/2006/main" xmlns:pic="http://schemas.openxmlformats.org/drawingml/2006/picture">
            <wp:extent cx="5400000" cy="4136476"/>
            <wp:docPr id="11" name="Picture 11"/>
            <wp:cNvGraphicFramePr>
              <a:graphicFrameLocks noChangeAspect="1"/>
            </wp:cNvGraphicFramePr>
            <a:graphic>
              <a:graphicData uri="http://schemas.openxmlformats.org/drawingml/2006/picture">
                <pic:pic>
                  <pic:nvPicPr>
                    <pic:cNvPr id="0" name="PD1_data_quality.png"/>
                    <pic:cNvPicPr/>
                  </pic:nvPicPr>
                  <pic:blipFill>
                    <a:blip r:embed="rId23"/>
                    <a:stretch>
                      <a:fillRect/>
                    </a:stretch>
                  </pic:blipFill>
                  <pic:spPr>
                    <a:xfrm>
                      <a:off x="0" y="0"/>
                      <a:ext cx="5400000" cy="4136476"/>
                    </a:xfrm>
                    <a:prstGeom prst="rect"/>
                  </pic:spPr>
                </pic:pic>
              </a:graphicData>
            </a:graphic>
          </wp:inline>
        </w:drawing>
      </w:r>
    </w:p>
    <w:p>
      <w:pPr>
        <w:spacing w:after="200"/>
        <w:jc w:val="center"/>
      </w:pPr>
      <w:r>
        <w:rPr>
          <w:rFonts w:ascii="Times New Roman" w:hAnsi="Times New Roman" w:cs="Times New Roman"/>
          <w:b/>
          <w:i w:val="0"/>
          <w:sz w:val="20"/>
        </w:rPr>
        <w:t>Figure 11: Data Quality Scorecard, Post-Cleanup State</w:t>
      </w:r>
    </w:p>
    <w:p>
      <w:pPr>
        <w:spacing w:before="120" w:after="40"/>
        <w:jc w:val="center"/>
      </w:pPr>
      <w:r>
        <w:drawing>
          <wp:inline xmlns:a="http://schemas.openxmlformats.org/drawingml/2006/main" xmlns:pic="http://schemas.openxmlformats.org/drawingml/2006/picture">
            <wp:extent cx="5400000" cy="3187689"/>
            <wp:docPr id="12" name="Picture 12"/>
            <wp:cNvGraphicFramePr>
              <a:graphicFrameLocks noChangeAspect="1"/>
            </wp:cNvGraphicFramePr>
            <a:graphic>
              <a:graphicData uri="http://schemas.openxmlformats.org/drawingml/2006/picture">
                <pic:pic>
                  <pic:nvPicPr>
                    <pic:cNvPr id="0" name="P1_feature_importance.png"/>
                    <pic:cNvPicPr/>
                  </pic:nvPicPr>
                  <pic:blipFill>
                    <a:blip r:embed="rId24"/>
                    <a:stretch>
                      <a:fillRect/>
                    </a:stretch>
                  </pic:blipFill>
                  <pic:spPr>
                    <a:xfrm>
                      <a:off x="0" y="0"/>
                      <a:ext cx="5400000" cy="3187689"/>
                    </a:xfrm>
                    <a:prstGeom prst="rect"/>
                  </pic:spPr>
                </pic:pic>
              </a:graphicData>
            </a:graphic>
          </wp:inline>
        </w:drawing>
      </w:r>
    </w:p>
    <w:p>
      <w:pPr>
        <w:spacing w:after="200"/>
        <w:jc w:val="center"/>
      </w:pPr>
      <w:r>
        <w:rPr>
          <w:rFonts w:ascii="Times New Roman" w:hAnsi="Times New Roman" w:cs="Times New Roman"/>
          <w:b/>
          <w:i w:val="0"/>
          <w:sz w:val="20"/>
        </w:rPr>
        <w:t>Figure 12: Random Forest Feature Importance</w:t>
      </w:r>
    </w:p>
    <w:p>
      <w:pPr>
        <w:spacing w:before="120" w:after="40"/>
        <w:jc w:val="center"/>
      </w:pPr>
      <w:r>
        <w:drawing>
          <wp:inline xmlns:a="http://schemas.openxmlformats.org/drawingml/2006/main" xmlns:pic="http://schemas.openxmlformats.org/drawingml/2006/picture">
            <wp:extent cx="5400000" cy="5461998"/>
            <wp:docPr id="13" name="Picture 13"/>
            <wp:cNvGraphicFramePr>
              <a:graphicFrameLocks noChangeAspect="1"/>
            </wp:cNvGraphicFramePr>
            <a:graphic>
              <a:graphicData uri="http://schemas.openxmlformats.org/drawingml/2006/picture">
                <pic:pic>
                  <pic:nvPicPr>
                    <pic:cNvPr id="0" name="P2_roc_curve.png"/>
                    <pic:cNvPicPr/>
                  </pic:nvPicPr>
                  <pic:blipFill>
                    <a:blip r:embed="rId25"/>
                    <a:stretch>
                      <a:fillRect/>
                    </a:stretch>
                  </pic:blipFill>
                  <pic:spPr>
                    <a:xfrm>
                      <a:off x="0" y="0"/>
                      <a:ext cx="5400000" cy="5461998"/>
                    </a:xfrm>
                    <a:prstGeom prst="rect"/>
                  </pic:spPr>
                </pic:pic>
              </a:graphicData>
            </a:graphic>
          </wp:inline>
        </w:drawing>
      </w:r>
    </w:p>
    <w:p>
      <w:pPr>
        <w:spacing w:after="200"/>
        <w:jc w:val="center"/>
      </w:pPr>
      <w:r>
        <w:rPr>
          <w:rFonts w:ascii="Times New Roman" w:hAnsi="Times New Roman" w:cs="Times New Roman"/>
          <w:b/>
          <w:i w:val="0"/>
          <w:sz w:val="20"/>
        </w:rPr>
        <w:t>Figure 13: ROC Curve on the Hold-Out Test Fold</w:t>
      </w:r>
    </w:p>
    <w:p>
      <w:pPr>
        <w:spacing w:before="120" w:after="40"/>
        <w:jc w:val="center"/>
      </w:pPr>
      <w:r>
        <w:drawing>
          <wp:inline xmlns:a="http://schemas.openxmlformats.org/drawingml/2006/main" xmlns:pic="http://schemas.openxmlformats.org/drawingml/2006/picture">
            <wp:extent cx="5400000" cy="4813483"/>
            <wp:docPr id="14" name="Picture 14"/>
            <wp:cNvGraphicFramePr>
              <a:graphicFrameLocks noChangeAspect="1"/>
            </wp:cNvGraphicFramePr>
            <a:graphic>
              <a:graphicData uri="http://schemas.openxmlformats.org/drawingml/2006/picture">
                <pic:pic>
                  <pic:nvPicPr>
                    <pic:cNvPr id="0" name="P3_confusion_matrix.png"/>
                    <pic:cNvPicPr/>
                  </pic:nvPicPr>
                  <pic:blipFill>
                    <a:blip r:embed="rId26"/>
                    <a:stretch>
                      <a:fillRect/>
                    </a:stretch>
                  </pic:blipFill>
                  <pic:spPr>
                    <a:xfrm>
                      <a:off x="0" y="0"/>
                      <a:ext cx="5400000" cy="4813483"/>
                    </a:xfrm>
                    <a:prstGeom prst="rect"/>
                  </pic:spPr>
                </pic:pic>
              </a:graphicData>
            </a:graphic>
          </wp:inline>
        </w:drawing>
      </w:r>
    </w:p>
    <w:p>
      <w:pPr>
        <w:spacing w:after="200"/>
        <w:jc w:val="center"/>
      </w:pPr>
      <w:r>
        <w:rPr>
          <w:rFonts w:ascii="Times New Roman" w:hAnsi="Times New Roman" w:cs="Times New Roman"/>
          <w:b/>
          <w:i w:val="0"/>
          <w:sz w:val="20"/>
        </w:rPr>
        <w:t>Figure 14: Confusion Matrix on the Hold-Out Test Fold</w:t>
      </w:r>
    </w:p>
    <w:p>
      <w:pPr>
        <w:spacing w:before="120" w:after="40"/>
        <w:jc w:val="center"/>
      </w:pPr>
      <w:r>
        <w:drawing>
          <wp:inline xmlns:a="http://schemas.openxmlformats.org/drawingml/2006/main" xmlns:pic="http://schemas.openxmlformats.org/drawingml/2006/picture">
            <wp:extent cx="5400000" cy="2089857"/>
            <wp:docPr id="15" name="Picture 15"/>
            <wp:cNvGraphicFramePr>
              <a:graphicFrameLocks noChangeAspect="1"/>
            </wp:cNvGraphicFramePr>
            <a:graphic>
              <a:graphicData uri="http://schemas.openxmlformats.org/drawingml/2006/picture">
                <pic:pic>
                  <pic:nvPicPr>
                    <pic:cNvPr id="0" name="PD2_auc.png"/>
                    <pic:cNvPicPr/>
                  </pic:nvPicPr>
                  <pic:blipFill>
                    <a:blip r:embed="rId27"/>
                    <a:stretch>
                      <a:fillRect/>
                    </a:stretch>
                  </pic:blipFill>
                  <pic:spPr>
                    <a:xfrm>
                      <a:off x="0" y="0"/>
                      <a:ext cx="5400000" cy="2089857"/>
                    </a:xfrm>
                    <a:prstGeom prst="rect"/>
                  </pic:spPr>
                </pic:pic>
              </a:graphicData>
            </a:graphic>
          </wp:inline>
        </w:drawing>
      </w:r>
    </w:p>
    <w:p>
      <w:pPr>
        <w:spacing w:after="200"/>
        <w:jc w:val="center"/>
      </w:pPr>
      <w:r>
        <w:rPr>
          <w:rFonts w:ascii="Times New Roman" w:hAnsi="Times New Roman" w:cs="Times New Roman"/>
          <w:b/>
          <w:i w:val="0"/>
          <w:sz w:val="20"/>
        </w:rPr>
        <w:t>Figure 15: 5-Fold Cross-Validated ROC AUC by Fold</w:t>
      </w:r>
    </w:p>
    <w:p>
      <w:pPr>
        <w:spacing w:before="120" w:after="40"/>
        <w:jc w:val="center"/>
      </w:pPr>
      <w:r>
        <w:drawing>
          <wp:inline xmlns:a="http://schemas.openxmlformats.org/drawingml/2006/main" xmlns:pic="http://schemas.openxmlformats.org/drawingml/2006/picture">
            <wp:extent cx="5400000" cy="4016842"/>
            <wp:docPr id="16" name="Picture 16"/>
            <wp:cNvGraphicFramePr>
              <a:graphicFrameLocks noChangeAspect="1"/>
            </wp:cNvGraphicFramePr>
            <a:graphic>
              <a:graphicData uri="http://schemas.openxmlformats.org/drawingml/2006/picture">
                <pic:pic>
                  <pic:nvPicPr>
                    <pic:cNvPr id="0" name="P4_failure_heatmap.png"/>
                    <pic:cNvPicPr/>
                  </pic:nvPicPr>
                  <pic:blipFill>
                    <a:blip r:embed="rId28"/>
                    <a:stretch>
                      <a:fillRect/>
                    </a:stretch>
                  </pic:blipFill>
                  <pic:spPr>
                    <a:xfrm>
                      <a:off x="0" y="0"/>
                      <a:ext cx="5400000" cy="4016842"/>
                    </a:xfrm>
                    <a:prstGeom prst="rect"/>
                  </pic:spPr>
                </pic:pic>
              </a:graphicData>
            </a:graphic>
          </wp:inline>
        </w:drawing>
      </w:r>
    </w:p>
    <w:p>
      <w:pPr>
        <w:spacing w:after="200"/>
        <w:jc w:val="center"/>
      </w:pPr>
      <w:r>
        <w:rPr>
          <w:rFonts w:ascii="Times New Roman" w:hAnsi="Times New Roman" w:cs="Times New Roman"/>
          <w:b/>
          <w:i w:val="0"/>
          <w:sz w:val="20"/>
        </w:rPr>
        <w:t>Figure 16: Failure Rate Heatmap, Python Pipeline Cross-Check</w:t>
      </w:r>
    </w:p>
    <w:p>
      <w:pPr>
        <w:spacing w:after="160" w:line="276" w:lineRule="auto"/>
        <w:jc w:val="both"/>
      </w:pPr>
      <w:r>
        <w:rPr>
          <w:rFonts w:ascii="Times New Roman" w:hAnsi="Times New Roman" w:cs="Times New Roman"/>
          <w:b w:val="0"/>
          <w:i w:val="0"/>
          <w:sz w:val="22"/>
        </w:rPr>
        <w:t>Figure 11 shows the data after cleanup: 0 duplicate primary keys across all 9 tables, 0 foreign key violations, and the distinct zone count dropping from a pre-cleanup peak of 32 (in orders, with 16 spellings across 2 zone fields) down to 14 (7 canonical values across 2 fields). The chi square test reproduces the R value exactly. The random forest 5-fold AUC of 0.487 plus or minus 0.064 (Figure 15) is indistinguishable from a coin toss; the ROC curve in Figure 13 sits effectively on the diagonal, and the confusion matrix in Figure 14 confirms the model defaults to predicting non-failure for almost every order. The failure heatmap in Figure 16 cross-checks the equivalent R chart and reaches the same numbers, completing the 3-way validation across paradigms.</w:t>
      </w:r>
    </w:p>
    <w:p>
      <w:pPr>
        <w:spacing w:before="320" w:after="120"/>
      </w:pPr>
      <w:r>
        <w:rPr>
          <w:rFonts w:ascii="Times New Roman" w:hAnsi="Times New Roman" w:cs="Times New Roman"/>
          <w:b/>
          <w:i w:val="0"/>
          <w:sz w:val="30"/>
        </w:rPr>
        <w:t>7. Critical Reflection</w:t>
      </w:r>
    </w:p>
    <w:p>
      <w:pPr>
        <w:spacing w:before="240" w:after="80"/>
      </w:pPr>
      <w:r>
        <w:rPr>
          <w:rFonts w:ascii="Times New Roman" w:hAnsi="Times New Roman" w:cs="Times New Roman"/>
          <w:b/>
          <w:i w:val="0"/>
          <w:sz w:val="26"/>
        </w:rPr>
        <w:t>7.1 What the data really says</w:t>
      </w:r>
    </w:p>
    <w:p>
      <w:pPr>
        <w:spacing w:after="160" w:line="276" w:lineRule="auto"/>
        <w:jc w:val="both"/>
      </w:pPr>
      <w:r>
        <w:rPr>
          <w:rFonts w:ascii="Times New Roman" w:hAnsi="Times New Roman" w:cs="Times New Roman"/>
          <w:b w:val="0"/>
          <w:i w:val="0"/>
          <w:sz w:val="22"/>
        </w:rPr>
        <w:t>3 independent lines of evidence converge on the same conclusion. The descriptive failure heatmap in Section 5 shows Central and North as visibly elevated. The chi square test reaches statistical significance on pickup zone (p = 0.0103) and fails to reject for service type, route distance and app engagement. The scikit-learn random forest, given 9 candidate features, cannot predict per-order failure better than chance. Taken together, the signal is real at the zone level and absent at the order level. NorthStar should treat operational improvement as a zone problem (route planning, hub capacity, fleet allocation in Central and North) rather than as an order-classification problem.</w:t>
      </w:r>
    </w:p>
    <w:p>
      <w:pPr>
        <w:spacing w:before="240" w:after="80"/>
      </w:pPr>
      <w:r>
        <w:rPr>
          <w:rFonts w:ascii="Times New Roman" w:hAnsi="Times New Roman" w:cs="Times New Roman"/>
          <w:b/>
          <w:i w:val="0"/>
          <w:sz w:val="26"/>
        </w:rPr>
        <w:t>7.2 Limitations I should own</w:t>
      </w:r>
    </w:p>
    <w:p>
      <w:pPr>
        <w:spacing w:after="160" w:line="276" w:lineRule="auto"/>
        <w:jc w:val="both"/>
      </w:pPr>
      <w:r>
        <w:rPr>
          <w:rFonts w:ascii="Times New Roman" w:hAnsi="Times New Roman" w:cs="Times New Roman"/>
          <w:b w:val="0"/>
          <w:i w:val="0"/>
          <w:sz w:val="22"/>
        </w:rPr>
        <w:t>My dataset is small. 132 failures spread across 12 zone-by-service cells means some cells have only a handful of observations, and the chi square is a population-level summary rather than a per-cell verdict. Standardised residuals would identify which cells specifically drive the rejection, which is a follow-up I would run on more data. I did not apply multiple-comparison correction across my 4 hypothesis tests; with 4 tests, the family-wise error rate at alpha equals 0.05 is around 18.5 percent, so the chi square's p of 0.0103 is robust but should be replicated on a larger sample before being treated as definitive.</w:t>
      </w:r>
    </w:p>
    <w:p>
      <w:pPr>
        <w:spacing w:after="160" w:line="276" w:lineRule="auto"/>
        <w:jc w:val="both"/>
      </w:pPr>
      <w:r>
        <w:rPr>
          <w:rFonts w:ascii="Times New Roman" w:hAnsi="Times New Roman" w:cs="Times New Roman"/>
          <w:b w:val="0"/>
          <w:i w:val="0"/>
          <w:sz w:val="22"/>
        </w:rPr>
        <w:t>The random forest uses mean decrease in impurity for feature importance, which is biased toward continuous and high-cardinality features. Permutation importance would be the more rigorous alternative. The model also runs at a single random seed with a fixed train/test split ratio, so the reported AUC is a point estimate; nested cross-validation with hyperparameter search would tighten the generalisation estimate. None of this changes the headline conclusion (the AUC is so close to 0.5 that no amount of tuning would rescue it) but the methodological honesty matters.</w:t>
      </w:r>
    </w:p>
    <w:p>
      <w:pPr>
        <w:spacing w:after="160" w:line="276" w:lineRule="auto"/>
        <w:jc w:val="both"/>
      </w:pPr>
      <w:r>
        <w:rPr>
          <w:rFonts w:ascii="Times New Roman" w:hAnsi="Times New Roman" w:cs="Times New Roman"/>
          <w:b w:val="0"/>
          <w:i w:val="0"/>
          <w:sz w:val="22"/>
        </w:rPr>
        <w:t>On the engineering side, the embedded MongoDB schema optimises for reads at the cost of write amplification and some duplicated data. It is the right design for this analytical workload but the wrong design for a live transactional system. PyMongo is pinned at version 3.12 because that is what the module brief documents, although 4.x would offer cleaner type hints and a tighter aggregation API. SQLite is the engine I picked for the SQL in R section; a production deployment on PostgreSQL or MySQL would behave differently under concurrent workloads, and the 6 join indexes I added by hand should be validated against the actual workload with EXPLAIN QUERY PLAN before being treated as final.</w:t>
      </w:r>
    </w:p>
    <w:p>
      <w:pPr>
        <w:spacing w:before="240" w:after="80"/>
      </w:pPr>
      <w:r>
        <w:rPr>
          <w:rFonts w:ascii="Times New Roman" w:hAnsi="Times New Roman" w:cs="Times New Roman"/>
          <w:b/>
          <w:i w:val="0"/>
          <w:sz w:val="26"/>
        </w:rPr>
        <w:t>7.3 What I would do next</w:t>
      </w:r>
    </w:p>
    <w:p>
      <w:pPr>
        <w:spacing w:after="160" w:line="276" w:lineRule="auto"/>
        <w:jc w:val="both"/>
      </w:pPr>
      <w:r>
        <w:rPr>
          <w:rFonts w:ascii="Times New Roman" w:hAnsi="Times New Roman" w:cs="Times New Roman"/>
          <w:b w:val="0"/>
          <w:i w:val="0"/>
          <w:sz w:val="22"/>
        </w:rPr>
        <w:t>If I were extending this project beyond the coursework, I would do 3 things. First, denormalise the driver attributes onto orders_aggregate so the $lookup stage disappears from the analytical pipeline; the join is the most expensive operation I run, and refreshing the denormalised view on a schedule is cheap. Second, gather external features the dataset never sees (weather, road closures, real-time traffic, driver fatigue) and rerun the random forest with them; the current null result is almost certainly because the predictive signal lives outside the operational data, not inside it. Third, drill into the chi square residuals for the failing zones to identify which specific zone-by-service-type cells drive the global association; that turns a population finding into an operational shopping list.</w:t>
      </w:r>
    </w:p>
    <w:p>
      <w:pPr>
        <w:spacing w:before="240" w:after="80"/>
      </w:pPr>
      <w:r>
        <w:rPr>
          <w:rFonts w:ascii="Times New Roman" w:hAnsi="Times New Roman" w:cs="Times New Roman"/>
          <w:b/>
          <w:i w:val="0"/>
          <w:sz w:val="26"/>
        </w:rPr>
        <w:t>7.4 Cross-paradigm validation as a methodology</w:t>
      </w:r>
    </w:p>
    <w:p>
      <w:pPr>
        <w:spacing w:after="160" w:line="276" w:lineRule="auto"/>
        <w:jc w:val="both"/>
      </w:pPr>
      <w:r>
        <w:rPr>
          <w:rFonts w:ascii="Times New Roman" w:hAnsi="Times New Roman" w:cs="Times New Roman"/>
          <w:b w:val="0"/>
          <w:i w:val="0"/>
          <w:sz w:val="22"/>
        </w:rPr>
        <w:t>The most valuable thing about running the same business questions through 4 paradigms is that I get 4 independent answers to compare. When MongoDB's $group on service_type, SQL's GROUP BY service_type, R's dplyr group_by and pandas's groupby all return the same average order value, I have very strong evidence that the joins, the cleanup and the schema are correct in every implementation. When R's chisq.test and scipy's chi2_contingency agree to 4 decimal places on the pickup zone test, I have very strong evidence that the contingency table is correct. This is a methodology I would lean on in any production-grade analytical project where the cost of a silent bug in 1 pipeline is unacceptably high.</w:t>
      </w:r>
    </w:p>
    <w:p>
      <w:pPr>
        <w:spacing w:before="320" w:after="120"/>
      </w:pPr>
      <w:r>
        <w:rPr>
          <w:rFonts w:ascii="Times New Roman" w:hAnsi="Times New Roman" w:cs="Times New Roman"/>
          <w:b/>
          <w:i w:val="0"/>
          <w:sz w:val="30"/>
        </w:rPr>
        <w:t>8. Conclusion</w:t>
      </w:r>
    </w:p>
    <w:p>
      <w:pPr>
        <w:spacing w:after="160" w:line="276" w:lineRule="auto"/>
        <w:jc w:val="both"/>
      </w:pPr>
      <w:r>
        <w:rPr>
          <w:rFonts w:ascii="Times New Roman" w:hAnsi="Times New Roman" w:cs="Times New Roman"/>
          <w:b w:val="0"/>
          <w:i w:val="0"/>
          <w:sz w:val="22"/>
        </w:rPr>
        <w:t>This consolidated report covers all 5 bands of the NorthStar coursework as a single deliverable. The MongoDB pipeline runs against a live Atlas cluster with an embedded orders_aggregate collection of 1250 documents and 12 analytical aggregations. The query optimisation experiment converts COLLSCAN to IXSCAN on 4 archetypes, with documents-examined dropping from 1250 to between 1 and 237. The SQL in R section reproduces the 8 business questions in the relational paradigm and adds a 9th expressed via RANK() OVER PARTITION BY. R analytics provides inferential validation: chi square p = 0.0103 on pickup zone, no other test significant, logistic regression isolating critical-priority orders as the only significant predictor. Python data processing closes the loop with a pandas ETL plus a 5-dimension data quality scorecard, a scipy chi square that reproduces R to 4 decimal places, and a random forest that confirms the per-order signal is absent. The actionable finding for NorthStar is operational, not analytical: target the failing zones, not the failing orders.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1lxrry/Nortstar-Task" TargetMode="External"/><Relationship Id="rId10" Type="http://schemas.openxmlformats.org/officeDocument/2006/relationships/hyperlink" Target="https://colab.research.google.com/github/D1lxrry/Nortstar-Task/blob/main/colab_notebooks/01_python_data_processing.ipynb" TargetMode="External"/><Relationship Id="rId11" Type="http://schemas.openxmlformats.org/officeDocument/2006/relationships/hyperlink" Target="https://colab.research.google.com/github/D1lxrry/Nortstar-Task/blob/main/colab_notebooks/02_r_sql_and_analytics.ipynb" TargetMode="External"/><Relationship Id="rId12" Type="http://schemas.openxmlformats.org/officeDocument/2006/relationships/hyperlink" Target="https://colab.research.google.com/github/D1lxrry/Nortstar-Task/blob/main/colab_notebooks/03_mongodb_and_query_optimisation.ipynb"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