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c8e1575692d34fad" /><Relationship Type="http://schemas.openxmlformats.org/officeDocument/2006/relationships/officeDocument" Target="/word/document.xml" Id="Rfa04ed4b672f4413" /><Relationship Type="http://schemas.microsoft.com/office/2011/relationships/webextensiontaskpanes" Target="/word/webextensions/taskpanes.xml" Id="Rd5a3b6d6b9e64546" /><Relationship Type="http://schemas.openxmlformats.org/package/2006/relationships/metadata/core-properties" Target="/package/services/metadata/core-properties/21e8989402db4e4ea95f7e3d013c2640.psmdcp" Id="R3bd9ffba299b4d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4185e2324c134e9f" /><Relationship Type="http://schemas.openxmlformats.org/officeDocument/2006/relationships/webSettings" Target="/word/webSettings.xml" Id="R1853784c0dfe4a47" /><Relationship Type="http://schemas.openxmlformats.org/officeDocument/2006/relationships/fontTable" Target="/word/fontTable.xml" Id="R578ec98efcd84dd4" /><Relationship Type="http://schemas.openxmlformats.org/officeDocument/2006/relationships/settings" Target="/word/settings.xml" Id="Rf6a33d56ff16447c" /><Relationship Type="http://schemas.openxmlformats.org/officeDocument/2006/relationships/styles" Target="/word/styles.xml" Id="R469f73d4cfcd4c5f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ad7920ca94a84b72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ad7920ca94a84b72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4fb9333a-ae55-4a67-82f1-47021f195699}">
  <we:reference id="38b3b6a4-ce25-4a31-8496-c59988f6ca1c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