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f4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4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5"/>
      </w:pPr>
    </w:p>
    <w:p w14:paraId="7BA69C90" w14:textId="47BFB622" w:rsidR="009E5C8E" w:rsidRDefault="009E5C8E" w:rsidP="007C2D47">
      <w:pPr>
        <w:pStyle w:val="aff5"/>
      </w:pPr>
      <w:r>
        <w:t>БД – база данных</w:t>
      </w:r>
    </w:p>
    <w:p w14:paraId="6C227630" w14:textId="77777777" w:rsidR="007C2D47" w:rsidRDefault="007C2D47" w:rsidP="007C2D47">
      <w:pPr>
        <w:pStyle w:val="aff5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5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4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5"/>
      </w:pPr>
    </w:p>
    <w:p w14:paraId="1413EA5E" w14:textId="1ACD7DD1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собранной самостоятельно, но при </w:t>
      </w:r>
      <w:r w:rsidR="00F273F3">
        <w:rPr>
          <w:sz w:val="28"/>
        </w:rPr>
        <w:t>выборе</w:t>
      </w:r>
      <w:r>
        <w:rPr>
          <w:sz w:val="28"/>
        </w:rPr>
        <w:t xml:space="preserve"> комплектующих можно допустить </w:t>
      </w:r>
      <w:r w:rsidR="007C2D47">
        <w:rPr>
          <w:sz w:val="28"/>
        </w:rPr>
        <w:t xml:space="preserve">множество ошибок, из-за которых ПК не будет работать. </w:t>
      </w:r>
      <w:r w:rsidR="00E362C7">
        <w:rPr>
          <w:sz w:val="28"/>
        </w:rPr>
        <w:t xml:space="preserve">Для проведения </w:t>
      </w:r>
      <w:r w:rsidR="00AC625D">
        <w:rPr>
          <w:sz w:val="28"/>
        </w:rPr>
        <w:t>обучения студентов на предприятии заказчика</w:t>
      </w:r>
      <w:r w:rsidR="00E362C7">
        <w:rPr>
          <w:sz w:val="28"/>
        </w:rPr>
        <w:t xml:space="preserve"> по теме «Конфигурирование автоматизированного рабочего места»</w:t>
      </w:r>
      <w:r w:rsidR="007C2D47">
        <w:rPr>
          <w:sz w:val="28"/>
        </w:rPr>
        <w:t xml:space="preserve"> было принято решение разработать </w:t>
      </w:r>
      <w:r w:rsidR="00E362C7">
        <w:rPr>
          <w:sz w:val="28"/>
        </w:rPr>
        <w:t>приложение</w:t>
      </w:r>
      <w:r w:rsidR="007C2D47">
        <w:rPr>
          <w:sz w:val="28"/>
        </w:rPr>
        <w:t xml:space="preserve"> «Конфигуратор сборки ПК».</w:t>
      </w:r>
    </w:p>
    <w:p w14:paraId="18AD0002" w14:textId="0DF9AF6D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E362C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</w:t>
      </w:r>
    </w:p>
    <w:p w14:paraId="5B12DE6E" w14:textId="2CB0CF90" w:rsidR="00657720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приложения требуется разработать БД</w:t>
      </w:r>
      <w:r w:rsidR="009E5C8E">
        <w:rPr>
          <w:color w:val="000000"/>
          <w:sz w:val="28"/>
          <w:szCs w:val="28"/>
        </w:rPr>
        <w:t xml:space="preserve"> в которой</w:t>
      </w:r>
      <w:r>
        <w:rPr>
          <w:color w:val="000000"/>
          <w:sz w:val="28"/>
          <w:szCs w:val="28"/>
        </w:rPr>
        <w:t xml:space="preserve"> </w:t>
      </w:r>
      <w:r w:rsidR="009E5C8E">
        <w:rPr>
          <w:color w:val="000000"/>
          <w:sz w:val="28"/>
          <w:szCs w:val="28"/>
        </w:rPr>
        <w:t>хранится информация о процессорах, материнских платах, корпусах, модулях ОП, видеокартах,</w:t>
      </w:r>
      <w:r w:rsidR="00A57BF3">
        <w:rPr>
          <w:color w:val="000000"/>
          <w:sz w:val="28"/>
          <w:szCs w:val="28"/>
        </w:rPr>
        <w:t xml:space="preserve"> системах</w:t>
      </w:r>
      <w:r w:rsidR="009E5C8E">
        <w:rPr>
          <w:color w:val="000000"/>
          <w:sz w:val="28"/>
          <w:szCs w:val="28"/>
        </w:rPr>
        <w:t xml:space="preserve">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18A09678" w:rsidR="009E5C8E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="009E5C8E">
        <w:rPr>
          <w:color w:val="000000"/>
          <w:sz w:val="28"/>
          <w:szCs w:val="28"/>
        </w:rPr>
        <w:t xml:space="preserve"> должн</w:t>
      </w:r>
      <w:r>
        <w:rPr>
          <w:color w:val="000000"/>
          <w:sz w:val="28"/>
          <w:szCs w:val="28"/>
        </w:rPr>
        <w:t>о</w:t>
      </w:r>
      <w:r w:rsidR="009E5C8E">
        <w:rPr>
          <w:color w:val="000000"/>
          <w:sz w:val="28"/>
          <w:szCs w:val="28"/>
        </w:rPr>
        <w:t xml:space="preserve"> предоставлять информацию о компонентах</w:t>
      </w:r>
      <w:r w:rsidR="00F273F3">
        <w:rPr>
          <w:color w:val="000000"/>
          <w:sz w:val="28"/>
          <w:szCs w:val="28"/>
        </w:rPr>
        <w:t xml:space="preserve"> ПК</w:t>
      </w:r>
      <w:r w:rsidR="009E5C8E">
        <w:rPr>
          <w:color w:val="000000"/>
          <w:sz w:val="28"/>
          <w:szCs w:val="28"/>
        </w:rPr>
        <w:t xml:space="preserve">, </w:t>
      </w:r>
      <w:r w:rsidR="00FF0B02">
        <w:rPr>
          <w:color w:val="000000"/>
          <w:sz w:val="28"/>
          <w:szCs w:val="28"/>
        </w:rPr>
        <w:t>функции сортировки, фильтрации и поиск</w:t>
      </w:r>
      <w:r w:rsidR="00F273F3">
        <w:rPr>
          <w:color w:val="000000"/>
          <w:sz w:val="28"/>
          <w:szCs w:val="28"/>
        </w:rPr>
        <w:t>а</w:t>
      </w:r>
      <w:r w:rsidR="00FF0B02">
        <w:rPr>
          <w:color w:val="000000"/>
          <w:sz w:val="28"/>
          <w:szCs w:val="28"/>
        </w:rPr>
        <w:t>, конфигурирования комплектующих, сохранения и экспорта</w:t>
      </w:r>
      <w:r w:rsidR="00F273F3">
        <w:rPr>
          <w:color w:val="000000"/>
          <w:sz w:val="28"/>
          <w:szCs w:val="28"/>
        </w:rPr>
        <w:t xml:space="preserve"> списка комплектующих</w:t>
      </w:r>
      <w:r w:rsidR="00FF0B02">
        <w:rPr>
          <w:color w:val="000000"/>
          <w:sz w:val="28"/>
          <w:szCs w:val="28"/>
        </w:rPr>
        <w:t xml:space="preserve"> сборки ПК.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9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9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9"/>
      </w:pPr>
      <w:r>
        <w:t>выбрать эффективные алгоритмы с учетом их устойчивости и точности,</w:t>
      </w:r>
    </w:p>
    <w:p w14:paraId="4D9351A4" w14:textId="7BF1344D" w:rsidR="00657720" w:rsidRDefault="00657720" w:rsidP="006918F7">
      <w:pPr>
        <w:pStyle w:val="a9"/>
      </w:pPr>
      <w:r>
        <w:t xml:space="preserve">спроектировать модели, необходимые для разработки </w:t>
      </w:r>
      <w:r w:rsidR="00AC625D">
        <w:t>приложения</w:t>
      </w:r>
      <w:r>
        <w:t>,</w:t>
      </w:r>
    </w:p>
    <w:p w14:paraId="27AFCD3B" w14:textId="77777777" w:rsidR="00657720" w:rsidRDefault="00657720" w:rsidP="006918F7">
      <w:pPr>
        <w:pStyle w:val="a9"/>
      </w:pPr>
      <w:r>
        <w:t>разработать БД,</w:t>
      </w:r>
    </w:p>
    <w:p w14:paraId="0F943D22" w14:textId="77777777" w:rsidR="00657720" w:rsidRDefault="00657720" w:rsidP="006918F7">
      <w:pPr>
        <w:pStyle w:val="a9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9"/>
      </w:pPr>
      <w:r>
        <w:t>разработать клиентское приложение,</w:t>
      </w:r>
    </w:p>
    <w:p w14:paraId="44129C1C" w14:textId="469475B0" w:rsidR="00657720" w:rsidRDefault="00657720" w:rsidP="006918F7">
      <w:pPr>
        <w:pStyle w:val="a9"/>
      </w:pPr>
      <w:r>
        <w:lastRenderedPageBreak/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</w:t>
      </w:r>
      <w:r w:rsidR="007D5642">
        <w:rPr>
          <w:lang w:val="en-US"/>
        </w:rPr>
        <w:t>x</w:t>
      </w:r>
      <w:r>
        <w:t>,</w:t>
      </w:r>
    </w:p>
    <w:p w14:paraId="18FBBE88" w14:textId="4498BDA7" w:rsidR="00657720" w:rsidRDefault="00657720" w:rsidP="006918F7">
      <w:pPr>
        <w:pStyle w:val="a9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32B09951" w14:textId="487FE773" w:rsidR="007D5642" w:rsidRDefault="007D5642" w:rsidP="007D5642">
      <w:pPr>
        <w:pStyle w:val="a9"/>
      </w:pPr>
      <w:r>
        <w:t>реализовать экспорт данных в формате .</w:t>
      </w:r>
      <w:r>
        <w:rPr>
          <w:lang w:val="en-US"/>
        </w:rPr>
        <w:t>pdf</w:t>
      </w:r>
      <w:r w:rsidRPr="00B01B7E">
        <w:t>,</w:t>
      </w:r>
    </w:p>
    <w:p w14:paraId="68426D4C" w14:textId="0DDC7ABE" w:rsidR="00657720" w:rsidRDefault="00657720" w:rsidP="006918F7">
      <w:pPr>
        <w:pStyle w:val="a9"/>
      </w:pPr>
      <w:r>
        <w:t xml:space="preserve">провести отладку кода </w:t>
      </w:r>
      <w:r w:rsidR="00AC625D">
        <w:t>приложения</w:t>
      </w:r>
      <w:r>
        <w:t>,</w:t>
      </w:r>
    </w:p>
    <w:p w14:paraId="5767EF40" w14:textId="6A7F3BB7" w:rsidR="00657720" w:rsidRDefault="00657720" w:rsidP="006918F7">
      <w:pPr>
        <w:pStyle w:val="a9"/>
      </w:pPr>
      <w:r>
        <w:t xml:space="preserve">провести тестирование </w:t>
      </w:r>
      <w:r w:rsidR="00AC625D">
        <w:t>приложения</w:t>
      </w:r>
      <w:r>
        <w:t>,</w:t>
      </w:r>
    </w:p>
    <w:p w14:paraId="495240A4" w14:textId="35471333" w:rsidR="00657720" w:rsidRDefault="00657720" w:rsidP="006918F7">
      <w:pPr>
        <w:pStyle w:val="a9"/>
      </w:pPr>
      <w:r>
        <w:t xml:space="preserve">проанализировать полученные в ходе тестирования и отладки результаты работы </w:t>
      </w:r>
      <w:r w:rsidR="007D5642">
        <w:t>ПП</w:t>
      </w:r>
      <w:r>
        <w:t xml:space="preserve">, </w:t>
      </w:r>
    </w:p>
    <w:p w14:paraId="02B8612D" w14:textId="7E801FC1" w:rsidR="00E362C7" w:rsidRDefault="00E362C7" w:rsidP="006918F7">
      <w:pPr>
        <w:pStyle w:val="a9"/>
      </w:pPr>
      <w:r>
        <w:t>составить руководство оператора БД,</w:t>
      </w:r>
    </w:p>
    <w:p w14:paraId="7386BDF9" w14:textId="5D8AE7C5" w:rsidR="00657720" w:rsidRDefault="00657720" w:rsidP="006918F7">
      <w:pPr>
        <w:pStyle w:val="a9"/>
      </w:pPr>
      <w:r>
        <w:t>составить руководство пользователя</w:t>
      </w:r>
      <w:r w:rsidR="008E1020">
        <w:t xml:space="preserve"> по установке и</w:t>
      </w:r>
      <w:r>
        <w:t xml:space="preserve"> эксплуатации </w:t>
      </w:r>
      <w:r w:rsidR="00AC625D">
        <w:t>приложения</w:t>
      </w:r>
      <w:r>
        <w:t>.</w:t>
      </w:r>
    </w:p>
    <w:p w14:paraId="1332F6F7" w14:textId="0ED8B4E1" w:rsidR="00657720" w:rsidRDefault="00657720" w:rsidP="00657720">
      <w:pPr>
        <w:pStyle w:val="af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AC625D">
        <w:rPr>
          <w:sz w:val="28"/>
        </w:rPr>
        <w:t>приложения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5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5"/>
      </w:pPr>
    </w:p>
    <w:p w14:paraId="58FF7476" w14:textId="396EA69A" w:rsidR="00BE317F" w:rsidRPr="00BE317F" w:rsidRDefault="00BE317F" w:rsidP="00BE317F">
      <w:pPr>
        <w:pStyle w:val="aff5"/>
      </w:pPr>
      <w:r>
        <w:t xml:space="preserve">Областью применения </w:t>
      </w:r>
      <w:r w:rsidR="00382AB8">
        <w:t>приложения</w:t>
      </w:r>
      <w:r>
        <w:t xml:space="preserve"> является подбор комплектующих для сборки ПК.</w:t>
      </w:r>
    </w:p>
    <w:p w14:paraId="5B23A67C" w14:textId="0B22B9E3" w:rsidR="00BE317F" w:rsidRDefault="00BE317F" w:rsidP="00BE317F">
      <w:pPr>
        <w:pStyle w:val="aff5"/>
      </w:pPr>
      <w:r>
        <w:t xml:space="preserve">Требуется создать </w:t>
      </w:r>
      <w:r w:rsidR="00382AB8">
        <w:t>приложение,</w:t>
      </w:r>
      <w:r>
        <w:t xml:space="preserve"> котор</w:t>
      </w:r>
      <w:r w:rsidR="00382AB8">
        <w:t>ое</w:t>
      </w:r>
      <w:r>
        <w:t xml:space="preserve"> предоставит </w:t>
      </w:r>
      <w:r w:rsidR="009703B4">
        <w:rPr>
          <w:color w:val="000000"/>
          <w:szCs w:val="28"/>
        </w:rPr>
        <w:t>информацию о компонентах, функции сортировки, фильтрации и поиска компонентов, конфигурирования комплектующих, сохранения и экспорта сборки ПК</w:t>
      </w:r>
      <w:r>
        <w:t>. Разрабатываем</w:t>
      </w:r>
      <w:r w:rsidR="00382AB8">
        <w:t>ое приложение</w:t>
      </w:r>
      <w:r>
        <w:t xml:space="preserve"> нуж</w:t>
      </w:r>
      <w:r w:rsidR="00382AB8">
        <w:t>но</w:t>
      </w:r>
      <w:r>
        <w:t xml:space="preserve"> для </w:t>
      </w:r>
      <w:r w:rsidR="00382AB8">
        <w:t>конфигурирования комплектующих</w:t>
      </w:r>
      <w:r w:rsidR="009703B4">
        <w:t xml:space="preserve"> ПК</w:t>
      </w:r>
      <w:r w:rsidR="00382AB8">
        <w:t xml:space="preserve"> и обучения студентов</w:t>
      </w:r>
      <w:r w:rsidR="00B70828">
        <w:t>.</w:t>
      </w:r>
    </w:p>
    <w:p w14:paraId="46968C1C" w14:textId="28182872" w:rsidR="00B70828" w:rsidRDefault="00B70828" w:rsidP="00BE317F">
      <w:pPr>
        <w:pStyle w:val="aff5"/>
      </w:pPr>
      <w:r>
        <w:t xml:space="preserve">Пользователям будет доступно конфигурирование процессора, материнской платы, корпуса, ОП, видеокарты, </w:t>
      </w:r>
      <w:r w:rsidR="00A57BF3">
        <w:t xml:space="preserve">системы </w:t>
      </w:r>
      <w:r>
        <w:t>охлаждения процессора, блока питания и хранилищ данных.</w:t>
      </w:r>
    </w:p>
    <w:p w14:paraId="0091786A" w14:textId="77777777" w:rsidR="00B70828" w:rsidRDefault="00B70828" w:rsidP="00657720">
      <w:pPr>
        <w:pStyle w:val="aff5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5"/>
      </w:pPr>
    </w:p>
    <w:p w14:paraId="1A605EDC" w14:textId="509F6676" w:rsidR="00B70828" w:rsidRDefault="00B70828" w:rsidP="00B70828">
      <w:pPr>
        <w:pStyle w:val="aff5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5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5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lastRenderedPageBreak/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5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5"/>
      </w:pPr>
    </w:p>
    <w:p w14:paraId="044CD97A" w14:textId="77777777" w:rsidR="003A72A7" w:rsidRDefault="002F5C9A" w:rsidP="002F5C9A">
      <w:pPr>
        <w:pStyle w:val="aff5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5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5"/>
      </w:pPr>
    </w:p>
    <w:p w14:paraId="01720B16" w14:textId="1274B14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 xml:space="preserve">приложение «Конфигуратор сборки ПК» для организации обучающего процесса на базе АКТ (ф) </w:t>
      </w:r>
      <w:proofErr w:type="spellStart"/>
      <w:r w:rsidR="006E33F6">
        <w:rPr>
          <w:rStyle w:val="normaltextrun"/>
          <w:color w:val="000009"/>
        </w:rPr>
        <w:t>СПбГУТ</w:t>
      </w:r>
      <w:proofErr w:type="spellEnd"/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lastRenderedPageBreak/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proofErr w:type="spellStart"/>
      <w:r w:rsidR="008369E4" w:rsidRPr="008369E4">
        <w:rPr>
          <w:rStyle w:val="normaltextrun"/>
          <w:color w:val="000009"/>
        </w:rPr>
        <w:t>Entity</w:t>
      </w:r>
      <w:proofErr w:type="spellEnd"/>
      <w:r w:rsidR="008369E4" w:rsidRPr="008369E4">
        <w:rPr>
          <w:rStyle w:val="normaltextrun"/>
          <w:color w:val="000009"/>
        </w:rPr>
        <w:t xml:space="preserve">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74595ECC" w14:textId="7D8D70BE" w:rsidR="002801BB" w:rsidRDefault="006A2AFB" w:rsidP="002801BB">
      <w:pPr>
        <w:pStyle w:val="a4"/>
      </w:pPr>
      <w:r>
        <w:br w:type="page"/>
      </w:r>
      <w:r w:rsidR="002801BB">
        <w:lastRenderedPageBreak/>
        <w:t>Руководство пользователя</w:t>
      </w:r>
    </w:p>
    <w:p w14:paraId="658BE504" w14:textId="362B1C57" w:rsidR="002801BB" w:rsidRDefault="002801BB" w:rsidP="002801BB">
      <w:pPr>
        <w:pStyle w:val="a4"/>
        <w:numPr>
          <w:ilvl w:val="0"/>
          <w:numId w:val="0"/>
        </w:numPr>
        <w:ind w:left="709"/>
      </w:pPr>
    </w:p>
    <w:p w14:paraId="2EEAFE10" w14:textId="1DC12DC8" w:rsidR="002801BB" w:rsidRDefault="002801BB" w:rsidP="002801BB">
      <w:pPr>
        <w:pStyle w:val="10"/>
      </w:pPr>
      <w:r>
        <w:t>Установка БД</w:t>
      </w:r>
    </w:p>
    <w:p w14:paraId="17062654" w14:textId="61F921BB" w:rsidR="002801BB" w:rsidRDefault="002801BB" w:rsidP="002801BB">
      <w:pPr>
        <w:pStyle w:val="aff5"/>
      </w:pPr>
    </w:p>
    <w:p w14:paraId="0F27ACFE" w14:textId="424022D0" w:rsidR="002801BB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5C82">
        <w:rPr>
          <w:color w:val="000000" w:themeColor="text1"/>
          <w:sz w:val="28"/>
          <w:szCs w:val="28"/>
        </w:rPr>
        <w:t xml:space="preserve">Для установки </w:t>
      </w:r>
      <w:r>
        <w:rPr>
          <w:color w:val="000000" w:themeColor="text1"/>
          <w:sz w:val="28"/>
          <w:szCs w:val="28"/>
        </w:rPr>
        <w:t>БД</w:t>
      </w:r>
      <w:r w:rsidRPr="00E45C82">
        <w:rPr>
          <w:color w:val="000000" w:themeColor="text1"/>
          <w:sz w:val="28"/>
          <w:szCs w:val="28"/>
        </w:rPr>
        <w:t xml:space="preserve"> необходимо установить сервер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выполнить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-скрипт. Для этого необходимо:</w:t>
      </w:r>
    </w:p>
    <w:p w14:paraId="0D7EDC6C" w14:textId="77777777" w:rsidR="002801BB" w:rsidRPr="005D6B78" w:rsidRDefault="002801BB" w:rsidP="002801BB">
      <w:pPr>
        <w:pStyle w:val="a9"/>
        <w:rPr>
          <w:lang w:val="en-US"/>
        </w:rPr>
      </w:pPr>
      <w:r w:rsidRPr="005D6B78">
        <w:t>скачать</w:t>
      </w:r>
      <w:r w:rsidRPr="005D6B78">
        <w:rPr>
          <w:lang w:val="en-US"/>
        </w:rPr>
        <w:t xml:space="preserve"> MS SQL Server 201</w:t>
      </w:r>
      <w:r w:rsidRPr="00563CAF">
        <w:rPr>
          <w:lang w:val="en-US"/>
        </w:rPr>
        <w:t>9</w:t>
      </w:r>
      <w:r w:rsidRPr="005D6B78">
        <w:rPr>
          <w:lang w:val="en-US"/>
        </w:rPr>
        <w:t xml:space="preserve"> </w:t>
      </w:r>
      <w:r>
        <w:rPr>
          <w:lang w:val="en-US"/>
        </w:rPr>
        <w:t>Express Editions</w:t>
      </w:r>
      <w:r w:rsidRPr="00912CAE">
        <w:rPr>
          <w:lang w:val="en-US"/>
        </w:rPr>
        <w:t xml:space="preserve"> </w:t>
      </w:r>
      <w:r>
        <w:rPr>
          <w:lang w:val="en-US"/>
        </w:rPr>
        <w:t>with Tools,</w:t>
      </w:r>
    </w:p>
    <w:p w14:paraId="56DAE064" w14:textId="77777777" w:rsidR="002801BB" w:rsidRDefault="002801BB" w:rsidP="002801BB">
      <w:pPr>
        <w:pStyle w:val="a9"/>
      </w:pPr>
      <w:r>
        <w:t>в</w:t>
      </w:r>
      <w:r w:rsidRPr="005D6B78">
        <w:t>ыполнить установку</w:t>
      </w:r>
      <w:r>
        <w:t xml:space="preserve"> сервера БД,</w:t>
      </w:r>
    </w:p>
    <w:p w14:paraId="25DF4F45" w14:textId="77777777" w:rsidR="002801BB" w:rsidRPr="00A5445C" w:rsidRDefault="002801BB" w:rsidP="002801BB">
      <w:pPr>
        <w:pStyle w:val="a9"/>
        <w:rPr>
          <w:lang w:val="en-US"/>
        </w:rPr>
      </w:pPr>
      <w:r>
        <w:t>запустить</w:t>
      </w:r>
      <w:r w:rsidRPr="00A5445C">
        <w:rPr>
          <w:lang w:val="en-US"/>
        </w:rPr>
        <w:t xml:space="preserve"> </w:t>
      </w:r>
      <w:r>
        <w:rPr>
          <w:lang w:val="en-US"/>
        </w:rPr>
        <w:t>SQL Server Management Studio,</w:t>
      </w:r>
    </w:p>
    <w:p w14:paraId="02F0D5F9" w14:textId="77777777" w:rsidR="002801BB" w:rsidRPr="008D6C67" w:rsidRDefault="002801BB" w:rsidP="002801BB">
      <w:pPr>
        <w:pStyle w:val="a9"/>
      </w:pPr>
      <w:r>
        <w:t>войти под пользователем с ролью «</w:t>
      </w:r>
      <w:proofErr w:type="spellStart"/>
      <w:r>
        <w:rPr>
          <w:lang w:val="en-US"/>
        </w:rPr>
        <w:t>dbmanager</w:t>
      </w:r>
      <w:proofErr w:type="spellEnd"/>
      <w:r>
        <w:t>»</w:t>
      </w:r>
    </w:p>
    <w:p w14:paraId="6C4D6501" w14:textId="595D87E7" w:rsidR="002801BB" w:rsidRDefault="002801BB" w:rsidP="002801BB">
      <w:pPr>
        <w:pStyle w:val="a9"/>
      </w:pPr>
      <w:r w:rsidRPr="008D6C67">
        <w:t xml:space="preserve">запустить </w:t>
      </w:r>
      <w:r>
        <w:t xml:space="preserve">скрипт </w:t>
      </w:r>
      <w:r w:rsidRPr="008D6C67">
        <w:t>«</w:t>
      </w:r>
      <w:proofErr w:type="spellStart"/>
      <w:r>
        <w:rPr>
          <w:lang w:val="en-US"/>
        </w:rPr>
        <w:t>db</w:t>
      </w:r>
      <w:proofErr w:type="spellEnd"/>
      <w:r w:rsidRPr="008D6C67">
        <w:t>.</w:t>
      </w:r>
      <w:proofErr w:type="spellStart"/>
      <w:r w:rsidRPr="008D6C67">
        <w:t>sql</w:t>
      </w:r>
      <w:proofErr w:type="spellEnd"/>
      <w:r>
        <w:t>».</w:t>
      </w:r>
    </w:p>
    <w:p w14:paraId="2D8FEC22" w14:textId="743391F7" w:rsidR="002801BB" w:rsidRDefault="002801BB" w:rsidP="002801BB">
      <w:pPr>
        <w:pStyle w:val="aff5"/>
      </w:pPr>
    </w:p>
    <w:p w14:paraId="7973A3E4" w14:textId="5C8AA577" w:rsidR="002801BB" w:rsidRDefault="002801BB" w:rsidP="002801BB">
      <w:pPr>
        <w:pStyle w:val="10"/>
      </w:pPr>
      <w:r>
        <w:t>Установка приложения</w:t>
      </w:r>
    </w:p>
    <w:p w14:paraId="4DFAB4D3" w14:textId="25F7E064" w:rsidR="002801BB" w:rsidRDefault="002801BB" w:rsidP="002801BB">
      <w:pPr>
        <w:pStyle w:val="aff5"/>
      </w:pPr>
    </w:p>
    <w:p w14:paraId="496A51F6" w14:textId="77777777" w:rsidR="002801BB" w:rsidRPr="00670828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70828">
        <w:rPr>
          <w:color w:val="000000" w:themeColor="text1"/>
          <w:sz w:val="28"/>
          <w:szCs w:val="28"/>
        </w:rPr>
        <w:t>Для установки клиентской части приложения необходимо в папке с файлам</w:t>
      </w:r>
      <w:r>
        <w:rPr>
          <w:color w:val="000000" w:themeColor="text1"/>
          <w:sz w:val="28"/>
          <w:szCs w:val="28"/>
        </w:rPr>
        <w:t>и программы (рисунок 6</w:t>
      </w:r>
      <w:r w:rsidRPr="00670828">
        <w:rPr>
          <w:color w:val="000000" w:themeColor="text1"/>
          <w:sz w:val="28"/>
          <w:szCs w:val="28"/>
        </w:rPr>
        <w:t>) запустить программу установки приложения</w:t>
      </w:r>
      <w:r>
        <w:rPr>
          <w:color w:val="000000" w:themeColor="text1"/>
          <w:sz w:val="28"/>
          <w:szCs w:val="28"/>
        </w:rPr>
        <w:t>, согласиться с условиями использования приложения, выбрать директорию для установки приложения</w:t>
      </w:r>
      <w:r w:rsidRPr="00670828">
        <w:rPr>
          <w:color w:val="000000" w:themeColor="text1"/>
          <w:sz w:val="28"/>
          <w:szCs w:val="28"/>
        </w:rPr>
        <w:t xml:space="preserve"> и дожда</w:t>
      </w:r>
      <w:r>
        <w:rPr>
          <w:color w:val="000000" w:themeColor="text1"/>
          <w:sz w:val="28"/>
          <w:szCs w:val="28"/>
        </w:rPr>
        <w:t>ться конца установки.</w:t>
      </w:r>
    </w:p>
    <w:p w14:paraId="0ED71B4B" w14:textId="77777777" w:rsidR="002801BB" w:rsidRDefault="002801BB" w:rsidP="002801BB">
      <w:pPr>
        <w:spacing w:line="360" w:lineRule="auto"/>
        <w:rPr>
          <w:color w:val="000000" w:themeColor="text1"/>
          <w:sz w:val="28"/>
          <w:szCs w:val="28"/>
        </w:rPr>
      </w:pPr>
    </w:p>
    <w:p w14:paraId="6D3EC650" w14:textId="58EBE712" w:rsidR="002801BB" w:rsidRPr="00636BFF" w:rsidRDefault="002801BB" w:rsidP="002801B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C4AE280" w14:textId="77777777" w:rsidR="002801BB" w:rsidRPr="00636BFF" w:rsidRDefault="002801BB" w:rsidP="002801B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E010A7" w14:textId="63CC1758" w:rsidR="002801BB" w:rsidRDefault="002801BB" w:rsidP="001D7C32">
      <w:pPr>
        <w:pStyle w:val="a3"/>
      </w:pPr>
      <w:r w:rsidRPr="002958BA">
        <w:t>Вид папки с инсталляционным пакетом «</w:t>
      </w:r>
      <w:r w:rsidRPr="002958BA">
        <w:rPr>
          <w:lang w:val="en-US"/>
        </w:rPr>
        <w:t>Setup</w:t>
      </w:r>
      <w:r w:rsidRPr="002958BA">
        <w:t>»</w:t>
      </w:r>
    </w:p>
    <w:p w14:paraId="316818B9" w14:textId="77777777" w:rsidR="002801BB" w:rsidRPr="002801BB" w:rsidRDefault="002801BB" w:rsidP="002801BB">
      <w:pPr>
        <w:pStyle w:val="aff5"/>
      </w:pPr>
    </w:p>
    <w:p w14:paraId="1BE8FC1D" w14:textId="2396A6DB" w:rsidR="002801BB" w:rsidRDefault="002801BB" w:rsidP="002801BB">
      <w:pPr>
        <w:pStyle w:val="10"/>
      </w:pPr>
      <w:r>
        <w:br w:type="page"/>
      </w:r>
    </w:p>
    <w:p w14:paraId="241D9CE5" w14:textId="2B0A6AC4" w:rsidR="002F23A3" w:rsidRDefault="002F23A3" w:rsidP="00AE19CD">
      <w:pPr>
        <w:pStyle w:val="a4"/>
      </w:pPr>
      <w:r w:rsidRPr="007631C7">
        <w:lastRenderedPageBreak/>
        <w:t>Определение затрат на создание программного продукта</w:t>
      </w:r>
    </w:p>
    <w:p w14:paraId="49AEB87F" w14:textId="4EE8AB10" w:rsidR="002F23A3" w:rsidRDefault="002F23A3" w:rsidP="002F23A3">
      <w:pPr>
        <w:pStyle w:val="aff5"/>
      </w:pPr>
    </w:p>
    <w:p w14:paraId="45308DA3" w14:textId="77777777" w:rsidR="002F23A3" w:rsidRPr="00316AAF" w:rsidRDefault="002F23A3" w:rsidP="002F23A3">
      <w:pPr>
        <w:pStyle w:val="affff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создание программного продукта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</m:sSub>
        <m:r>
          <m:rPr>
            <m:nor/>
          </m:rPr>
          <w:rPr>
            <w:rStyle w:val="afffffc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  <m:r>
          <m:rPr>
            <m:nor/>
          </m:rPr>
          <w:rPr>
            <w:rStyle w:val="afffffc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Pr="00316AAF">
        <w:rPr>
          <w:rStyle w:val="afffffc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D70E82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программного продукта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определяется по формуле</w:t>
      </w:r>
    </w:p>
    <w:p w14:paraId="0FA96DE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1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1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;</w:t>
      </w:r>
    </w:p>
    <w:p w14:paraId="148182D3" w14:textId="77777777" w:rsidR="002F23A3" w:rsidRPr="00316AAF" w:rsidRDefault="00D70E82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p w14:paraId="47849711" w14:textId="77777777" w:rsidR="002F23A3" w:rsidRPr="00316AAF" w:rsidRDefault="00D70E82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bookmarkStart w:id="2" w:name="tbDescription"/>
    <w:p w14:paraId="44A44CC7" w14:textId="77777777" w:rsidR="002F23A3" w:rsidRPr="00316AAF" w:rsidRDefault="00D70E82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bookmarkEnd w:id="2"/>
    <w:p w14:paraId="6E2253D1" w14:textId="77777777" w:rsidR="002F23A3" w:rsidRPr="00316AAF" w:rsidRDefault="00D70E82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p w14:paraId="35F67DD9" w14:textId="77777777" w:rsidR="002F23A3" w:rsidRPr="00316AAF" w:rsidRDefault="00D70E82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p w14:paraId="4C46D0A9" w14:textId="77777777" w:rsidR="002F23A3" w:rsidRPr="00316AAF" w:rsidRDefault="00D70E82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.</w:t>
      </w:r>
    </w:p>
    <w:p w14:paraId="53BFD3A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 xml:space="preserve">, </w:t>
      </w:r>
      <w:proofErr w:type="spellStart"/>
      <w:r w:rsidRPr="00316AAF">
        <w:rPr>
          <w:rStyle w:val="16"/>
          <w:rFonts w:eastAsiaTheme="minorEastAsia"/>
        </w:rPr>
        <w:t>ед</w:t>
      </w:r>
      <w:proofErr w:type="spellEnd"/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0126F1C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E171A4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</m:t>
        </m:r>
        <w:proofErr w:type="spellStart"/>
        <m:r>
          <m:rPr>
            <m:nor/>
          </m:rPr>
          <w:rPr>
            <w:rFonts w:cs="Times New Roman"/>
          </w:rPr>
          <m:t>q∙c</m:t>
        </m:r>
        <w:proofErr w:type="spellEnd"/>
        <m:r>
          <m:rPr>
            <m:nor/>
          </m:rPr>
          <w:rPr>
            <w:rFonts w:cs="Times New Roman"/>
          </w:rPr>
          <m:t>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q – число операторов (исходных команд), </w:t>
      </w:r>
      <w:proofErr w:type="spellStart"/>
      <w:r w:rsidRPr="00316AAF">
        <w:rPr>
          <w:rFonts w:cs="Times New Roman"/>
        </w:rPr>
        <w:t>ед</w:t>
      </w:r>
      <w:proofErr w:type="spellEnd"/>
      <w:r w:rsidRPr="00316AAF">
        <w:rPr>
          <w:rFonts w:cs="Times New Roman"/>
        </w:rPr>
        <w:t>;</w:t>
      </w:r>
    </w:p>
    <w:p w14:paraId="20C626CB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Программный продукт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степени сложности программный продукт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Созданный программный продукт 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1A8C953A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3" w:name="overCalculation3"/>
    </w:p>
    <w:bookmarkEnd w:id="3"/>
    <w:p w14:paraId="1E45852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4" w:name="underCalculation3"/>
    </w:p>
    <w:bookmarkEnd w:id="4"/>
    <w:p w14:paraId="2616B25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5" w:name="under4Formula"/>
    </w:p>
    <w:bookmarkEnd w:id="5"/>
    <w:p w14:paraId="048BF547" w14:textId="77777777" w:rsidR="002F23A3" w:rsidRPr="00316AAF" w:rsidRDefault="002F23A3" w:rsidP="002F23A3">
      <w:pPr>
        <w:pStyle w:val="affff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w:proofErr w:type="spellStart"/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6CBF2A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необходимо вычислить затраты труда на различных стадиях разработки программного продукта.</w:t>
      </w:r>
    </w:p>
    <w:p w14:paraId="0928272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647348E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5C0AD2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56FE409F" w14:textId="2A7E1A4B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2E946122" w14:textId="77777777" w:rsidR="002F23A3" w:rsidRPr="00316AAF" w:rsidRDefault="002F23A3" w:rsidP="002F23A3">
      <w:pPr>
        <w:pStyle w:val="affff"/>
        <w:rPr>
          <w:rFonts w:cs="Times New Roman"/>
        </w:rPr>
      </w:pPr>
      <w:bookmarkStart w:id="6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0D5F1C0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C25D95" w14:textId="77777777" w:rsidR="002F23A3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7" w:name="under6Formula"/>
      <w:bookmarkEnd w:id="7"/>
    </w:p>
    <w:p w14:paraId="7F8CE35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8"/>
        <w:rPr>
          <w:rFonts w:cs="Times New Roman"/>
        </w:rPr>
      </w:pPr>
    </w:p>
    <w:bookmarkEnd w:id="6"/>
    <w:p w14:paraId="432DB9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8" w:name="under7Formula"/>
    </w:p>
    <w:bookmarkEnd w:id="8"/>
    <w:p w14:paraId="32ABFDE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27A524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lastRenderedPageBreak/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 xml:space="preserve">=1,50∙14,68=22,02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078D712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9" w:name="over10Formula"/>
      <w:bookmarkEnd w:id="9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16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;</w:t>
      </w:r>
    </w:p>
    <w:p w14:paraId="2974CE62" w14:textId="77777777" w:rsidR="002F23A3" w:rsidRPr="00316AAF" w:rsidRDefault="00D70E82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011E44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 xml:space="preserve">=763,20/(175∙0,80)=5,45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 xml:space="preserve">=0,75∙5,45=4,09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 xml:space="preserve">=5,45+4,09=9,54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920902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Трудоёмкость разработки программного продукта, согласно формуле (2), составляет</w:t>
      </w:r>
    </w:p>
    <w:p w14:paraId="51466B8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0" w:name="overCalculation2"/>
    </w:p>
    <w:bookmarkEnd w:id="10"/>
    <w:p w14:paraId="1598DC1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1" w:name="tbСalculationInCalc_t"/>
        <m:r>
          <m:rPr>
            <m:nor/>
          </m:rPr>
          <w:rPr>
            <w:rFonts w:cs="Times New Roman"/>
          </w:rPr>
          <m:t>+14,68</m:t>
        </m:r>
        <w:bookmarkEnd w:id="11"/>
        <m:r>
          <m:rPr>
            <m:nor/>
          </m:rPr>
          <w:rPr>
            <w:rFonts w:cs="Times New Roman"/>
          </w:rPr>
          <m:t xml:space="preserve">+14,68+22,02+9,54=143,49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9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9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</w:t>
      </w:r>
      <w:proofErr w:type="spellStart"/>
      <w:r w:rsidRPr="00316AAF">
        <w:rPr>
          <w:rFonts w:cs="Times New Roman"/>
        </w:rPr>
        <w:t>машино</w:t>
      </w:r>
      <w:proofErr w:type="spellEnd"/>
      <w:r w:rsidRPr="00316AAF">
        <w:rPr>
          <w:rFonts w:cs="Times New Roman"/>
        </w:rPr>
        <w:t xml:space="preserve">–часа арендного времени, </w:t>
      </w:r>
      <w:proofErr w:type="spellStart"/>
      <w:r w:rsidRPr="00316AAF">
        <w:rPr>
          <w:rFonts w:cs="Times New Roman"/>
        </w:rPr>
        <w:t>руб</w:t>
      </w:r>
      <w:proofErr w:type="spellEnd"/>
      <w:r w:rsidRPr="00316AAF">
        <w:rPr>
          <w:rFonts w:cs="Times New Roman"/>
        </w:rPr>
        <w:t>/ч;</w:t>
      </w:r>
    </w:p>
    <w:p w14:paraId="349AEE4D" w14:textId="77777777" w:rsidR="002F23A3" w:rsidRPr="00316AAF" w:rsidRDefault="00D70E82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36B4CE5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eastAsiaTheme="minorEastAsia"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руб</w:t>
      </w:r>
      <w:proofErr w:type="spellEnd"/>
      <w:r w:rsidRPr="00316AAF">
        <w:rPr>
          <w:rFonts w:eastAsiaTheme="minorEastAsia" w:cs="Times New Roman"/>
        </w:rPr>
        <w:t>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/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8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lastRenderedPageBreak/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9"/>
            <w:rFonts w:cs="Times New Roman"/>
          </w:rPr>
          <m:t>∙(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)-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D70E82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D70E82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D70E82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"/>
        <w:rPr>
          <w:rFonts w:cs="Times New Roman"/>
        </w:rPr>
      </w:pPr>
      <w:bookmarkStart w:id="12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[</w:t>
      </w:r>
      <w:r w:rsidR="00AE19CD">
        <w:rPr>
          <w:rStyle w:val="afffff9"/>
          <w:rFonts w:eastAsiaTheme="minorEastAsia" w:cs="Times New Roman"/>
        </w:rPr>
        <w:t>1</w:t>
      </w:r>
      <w:r w:rsidRPr="00316AAF">
        <w:rPr>
          <w:rStyle w:val="afffff9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2"/>
    <w:p w14:paraId="3C35FCC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r>
          <m:rPr>
            <m:sty m:val="p"/>
          </m:rPr>
          <w:rPr>
            <w:rStyle w:val="afffff9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D70E82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</w:t>
      </w:r>
      <w:proofErr w:type="spellStart"/>
      <w:r w:rsidR="002F23A3" w:rsidRPr="00316AAF">
        <w:rPr>
          <w:rFonts w:cs="Times New Roman"/>
        </w:rPr>
        <w:t>кВт∙ч</w:t>
      </w:r>
      <w:proofErr w:type="spellEnd"/>
      <w:r w:rsidR="002F23A3" w:rsidRPr="00316AAF">
        <w:rPr>
          <w:rFonts w:cs="Times New Roman"/>
        </w:rPr>
        <w:t xml:space="preserve"> электроэнергии, руб.</w:t>
      </w:r>
    </w:p>
    <w:p w14:paraId="2AE40056" w14:textId="1D2EBC7E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8,53 </w:t>
      </w:r>
      <w:proofErr w:type="spellStart"/>
      <w:r w:rsidR="00AE19CD">
        <w:t>руб</w:t>
      </w:r>
      <w:proofErr w:type="spellEnd"/>
      <w:r w:rsidR="00AE19CD">
        <w:t>/</w:t>
      </w:r>
      <w:proofErr w:type="spellStart"/>
      <w:r w:rsidR="00AE19CD">
        <w:t>кВт·ч</w:t>
      </w:r>
      <w:proofErr w:type="spellEnd"/>
      <w:r w:rsidR="00AE19CD">
        <w:t xml:space="preserve">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3" w:name="overCalculation21"/>
    </w:p>
    <w:bookmarkEnd w:id="13"/>
    <w:p w14:paraId="48DB2AE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0,66∙131,40∙8,53=739,76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1B0A95D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"/>
        <w:rPr>
          <w:rFonts w:cs="Times New Roman"/>
        </w:rPr>
      </w:pPr>
    </w:p>
    <w:p w14:paraId="462E79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=0+739,76=739,76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4" w:name="underCalculation17"/>
    </w:p>
    <w:bookmarkEnd w:id="14"/>
    <w:p w14:paraId="7188ED3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65DBCE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С</m:t>
            </m:r>
          </m:e>
          <m:sub>
            <m:r>
              <m:rPr>
                <m:nor/>
              </m:rPr>
              <w:rPr>
                <w:rStyle w:val="afffffc"/>
              </w:rPr>
              <m:t>час</m:t>
            </m:r>
          </m:sub>
        </m:sSub>
        <m:r>
          <m:rPr>
            <m:nor/>
          </m:rPr>
          <w:rPr>
            <w:rStyle w:val="afffffc"/>
          </w:rPr>
          <m:t>=</m:t>
        </m:r>
        <m:r>
          <m:rPr>
            <m:nor/>
          </m:rPr>
          <w:rPr>
            <w:rFonts w:cs="Times New Roman"/>
          </w:rPr>
          <m:t>739,76</m:t>
        </m:r>
        <m:r>
          <m:rPr>
            <m:nor/>
          </m:rPr>
          <w:rPr>
            <w:rStyle w:val="afffffc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c"/>
          </w:rPr>
          <m:t>=5,63</m:t>
        </m:r>
        <m:r>
          <m:rPr>
            <m:nor/>
          </m:rPr>
          <w:rPr>
            <w:rFonts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руб</m:t>
        </m:r>
        <w:proofErr w:type="spellEnd"/>
        <m:r>
          <m:rPr>
            <m:nor/>
          </m:rPr>
          <w:rPr>
            <w:rFonts w:cs="Times New Roman"/>
          </w:rPr>
          <m:t>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5" w:name="overCalculation13"/>
    </w:p>
    <w:bookmarkEnd w:id="15"/>
    <w:p w14:paraId="3A6CB978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=5,63∙46,24=260,33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6" w:name="underCalculation13"/>
    </w:p>
    <w:bookmarkEnd w:id="16"/>
    <w:p w14:paraId="3537269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7" w:name="under22Formula"/>
    </w:p>
    <w:bookmarkEnd w:id="17"/>
    <w:p w14:paraId="30DA8BD6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D70E82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отч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D70E82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D70E82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11F8DA33" w:rsidR="002F23A3" w:rsidRPr="00316AAF" w:rsidRDefault="002F23A3" w:rsidP="002F23A3">
      <w:pPr>
        <w:pStyle w:val="affff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Оклад программистов, работающих в </w:t>
      </w:r>
      <w:r>
        <w:rPr>
          <w:rFonts w:cs="Times New Roman"/>
        </w:rPr>
        <w:t xml:space="preserve">АКТ (ф) </w:t>
      </w:r>
      <w:proofErr w:type="spellStart"/>
      <w:r>
        <w:rPr>
          <w:rFonts w:cs="Times New Roman"/>
        </w:rPr>
        <w:t>СПбГУТ</w:t>
      </w:r>
      <w:proofErr w:type="spellEnd"/>
      <w:r w:rsidRPr="00316AAF">
        <w:rPr>
          <w:rFonts w:cs="Times New Roman"/>
        </w:rPr>
        <w:t>, составляет 17001,32 руб.</w:t>
      </w:r>
    </w:p>
    <w:p w14:paraId="26560E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8" w:name="overCalculation23"/>
    </w:p>
    <w:bookmarkEnd w:id="18"/>
    <w:p w14:paraId="1CE0EDFB" w14:textId="6438D189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1+0,20+0,50)=28902,24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9" w:name="underCalculation23"/>
    </w:p>
    <w:bookmarkEnd w:id="19"/>
    <w:p w14:paraId="05728C74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0" w:name="under24Formula"/>
    </w:p>
    <w:bookmarkEnd w:id="20"/>
    <w:p w14:paraId="34580C3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D70E82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9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"/>
        <w:rPr>
          <w:rStyle w:val="afffffc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  <w:rFonts w:ascii="Cambria Math"/>
              </w:rPr>
              <m:t>страх</m:t>
            </m:r>
          </m:sub>
        </m:sSub>
      </m:oMath>
      <w:r w:rsidRPr="00316AAF">
        <w:rPr>
          <w:rStyle w:val="afffffc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c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lastRenderedPageBreak/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c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c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=28902,24∙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85DDE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B9EE7D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Прочие затраты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4A3220A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9B4E1B4" w14:textId="27ED7DC2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=(28902,24+8670,67+0+739,76)∙10/90=4256,96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8"/>
        <w:rPr>
          <w:rFonts w:cs="Times New Roman"/>
        </w:rPr>
      </w:pPr>
    </w:p>
    <w:p w14:paraId="37A347B4" w14:textId="1A6885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=28902,24+8670,67+0+739,76+4256,96=42569,63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1" w:name="underCalculation22"/>
    </w:p>
    <w:bookmarkEnd w:id="21"/>
    <w:p w14:paraId="119A7BDB" w14:textId="79A20D79" w:rsidR="002F23A3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 xml:space="preserve">(рисунок </w:t>
      </w:r>
      <w:r w:rsidR="001D7C32">
        <w:rPr>
          <w:rFonts w:cs="Times New Roman"/>
        </w:rPr>
        <w:t>2</w:t>
      </w:r>
      <w:r>
        <w:rPr>
          <w:rFonts w:cs="Times New Roman"/>
        </w:rPr>
        <w:t>).</w:t>
      </w:r>
    </w:p>
    <w:p w14:paraId="6E8E3A07" w14:textId="77777777" w:rsidR="002F23A3" w:rsidRDefault="002F23A3" w:rsidP="002F23A3">
      <w:pPr>
        <w:pStyle w:val="affff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b"/>
        <w:rPr>
          <w:lang w:val="en-US"/>
        </w:rPr>
      </w:pPr>
      <w:r w:rsidRPr="00BA6978">
        <w:drawing>
          <wp:inline distT="0" distB="0" distL="0" distR="0" wp14:anchorId="3DDF0C86" wp14:editId="2DCF5D75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50E7089F" w14:textId="77777777" w:rsidR="00B968A5" w:rsidRPr="00896DB2" w:rsidRDefault="00B968A5" w:rsidP="00B968A5">
      <w:pPr>
        <w:pStyle w:val="aff5"/>
      </w:pPr>
      <w:r w:rsidRPr="00896DB2">
        <w:lastRenderedPageBreak/>
        <w:t>Наибольшую долю затрат составляют издержки на заработную плату, значит процесс разработки ПП является трудоемким.</w:t>
      </w:r>
    </w:p>
    <w:p w14:paraId="72E44654" w14:textId="08E4C27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создание программного продукта, согласно формуле (1), составляют</w:t>
      </w:r>
    </w:p>
    <w:p w14:paraId="3A6B0817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2" w:name="overCalculation1"/>
    </w:p>
    <w:bookmarkEnd w:id="22"/>
    <w:p w14:paraId="372232B2" w14:textId="1F24BE6D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=260,33+42569,63=42829,96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4B50979" w14:textId="4BD001AB" w:rsidR="0074794E" w:rsidRPr="00896DB2" w:rsidRDefault="0074794E" w:rsidP="0074794E">
      <w:pPr>
        <w:pStyle w:val="aff5"/>
      </w:pPr>
      <w:r w:rsidRPr="00896DB2">
        <w:t xml:space="preserve">Во время разработки ПП существуют различные риски, которые могут оказать негативное влияние на разработку. Возможные риски и способы их минимизации приведены в таблице </w:t>
      </w:r>
      <w:r>
        <w:t>1.</w:t>
      </w:r>
    </w:p>
    <w:p w14:paraId="608F4E20" w14:textId="05DCE487" w:rsidR="0074794E" w:rsidRDefault="0074794E" w:rsidP="002F23A3">
      <w:pPr>
        <w:pStyle w:val="aff5"/>
      </w:pPr>
    </w:p>
    <w:p w14:paraId="4E7A1870" w14:textId="1B960FEE" w:rsidR="0074794E" w:rsidRPr="00896DB2" w:rsidRDefault="0074794E" w:rsidP="0074794E">
      <w:pPr>
        <w:pStyle w:val="afffff4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>
        <w:rPr>
          <w:rFonts w:cs="Times New Roman"/>
        </w:rPr>
        <w:t>1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42A7240F" w14:textId="77777777" w:rsidR="0074794E" w:rsidRPr="00896DB2" w:rsidRDefault="0074794E" w:rsidP="0074794E">
      <w:pPr>
        <w:pStyle w:val="affff"/>
        <w:rPr>
          <w:rFonts w:cs="Times New Roman"/>
        </w:rPr>
      </w:pPr>
    </w:p>
    <w:p w14:paraId="211F28DF" w14:textId="3F31358B" w:rsidR="0074794E" w:rsidRDefault="0074794E" w:rsidP="0074794E">
      <w:pPr>
        <w:pStyle w:val="affff"/>
        <w:rPr>
          <w:rFonts w:cs="Times New Roman"/>
        </w:rPr>
      </w:pPr>
      <w:r w:rsidRPr="00896DB2">
        <w:rPr>
          <w:rFonts w:cs="Times New Roman"/>
        </w:rPr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77436418" w:rsidR="0074794E" w:rsidRDefault="0074794E" w:rsidP="0074794E">
      <w:pPr>
        <w:pStyle w:val="aff5"/>
      </w:pPr>
      <w:r w:rsidRPr="00316AAF">
        <w:t xml:space="preserve">В конечном итоге трудоёмкость создания программного продукта составила 143,49 </w:t>
      </w:r>
      <w:proofErr w:type="spellStart"/>
      <w:r w:rsidRPr="00316AAF">
        <w:t>чел.ч</w:t>
      </w:r>
      <w:proofErr w:type="spellEnd"/>
      <w:r w:rsidRPr="00316AAF">
        <w:t xml:space="preserve">. В результате выполненных расчётов затраты на создание программного продукта составляют </w:t>
      </w:r>
      <m:oMath>
        <m:r>
          <m:rPr>
            <m:nor/>
          </m:rPr>
          <m:t>42829,96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25907CE8" w:rsidR="003D5FAA" w:rsidRDefault="003D5FAA" w:rsidP="0074794E">
      <w:pPr>
        <w:pStyle w:val="aff5"/>
      </w:pPr>
      <w:r>
        <w:lastRenderedPageBreak/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программн</w:t>
      </w:r>
      <w:r w:rsidR="00AC25F4">
        <w:t>ого</w:t>
      </w:r>
      <w:r w:rsidR="00502DA2">
        <w:t xml:space="preserve"> продукт</w:t>
      </w:r>
      <w:r w:rsidR="00AC25F4">
        <w:t>а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>отсутствуют аналоги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4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666DD644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>Охрана труда и техника безопасности при работе на ПК</w:t>
      </w:r>
    </w:p>
    <w:p w14:paraId="1EC1C94B" w14:textId="77777777" w:rsidR="00243B7A" w:rsidRPr="00243B7A" w:rsidRDefault="00243B7A" w:rsidP="00243B7A">
      <w:pPr>
        <w:pStyle w:val="aff5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 xml:space="preserve">Освещенность на поверхности стола в зоне размещения рабочего документа должна быть 300-500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 xml:space="preserve">. Освещение не должно составлять бликов на поверхности экрана и превышать 300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>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5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5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5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5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5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5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5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4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4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5"/>
      </w:pPr>
      <w:r>
        <w:br w:type="page"/>
      </w:r>
    </w:p>
    <w:p w14:paraId="6662CA36" w14:textId="4AC5EAA4" w:rsidR="00846401" w:rsidRPr="00D63CC5" w:rsidRDefault="00282C7B" w:rsidP="00EC0C94">
      <w:pPr>
        <w:pStyle w:val="aff4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 xml:space="preserve">Налоговый кодекс Российской Федерации. Части I и II. – Москва : ИНФРА-М, 2009. – 608 с. (Библиотека кодексов; </w:t>
      </w:r>
      <w:proofErr w:type="spellStart"/>
      <w:r w:rsidRPr="00896DB2">
        <w:t>Вып</w:t>
      </w:r>
      <w:proofErr w:type="spellEnd"/>
      <w:r w:rsidRPr="00896DB2">
        <w:t>. 3 (155)). – Текст :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>Производственный календарь на 2023 год – Текст :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 – Текст :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 xml:space="preserve">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программирование : учебное пособие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>. пользователей. – Текст :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данных :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7538EC7D" w14:textId="77777777" w:rsidR="00657720" w:rsidRDefault="00657720" w:rsidP="00AD28BC">
      <w:pPr>
        <w:pStyle w:val="ab"/>
      </w:pPr>
      <w:proofErr w:type="spellStart"/>
      <w:r>
        <w:t>Дадян</w:t>
      </w:r>
      <w:proofErr w:type="spellEnd"/>
      <w:r>
        <w:t xml:space="preserve">, Э. Г. Данные: хранение и обработка : учебник / Э. Г. </w:t>
      </w:r>
      <w:proofErr w:type="spellStart"/>
      <w:r>
        <w:t>Дадян</w:t>
      </w:r>
      <w:proofErr w:type="spellEnd"/>
      <w:r>
        <w:t xml:space="preserve">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системы :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 xml:space="preserve">Санкт-Петербург :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.) :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 xml:space="preserve">: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b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FEC9269" w14:textId="77777777" w:rsidR="00657720" w:rsidRDefault="00657720" w:rsidP="006D2B88">
      <w:pPr>
        <w:pStyle w:val="ab"/>
      </w:pPr>
      <w:proofErr w:type="spellStart"/>
      <w:r w:rsidRPr="00665330">
        <w:t>Кравацкий</w:t>
      </w:r>
      <w:proofErr w:type="spellEnd"/>
      <w:r w:rsidRPr="00665330">
        <w:t>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1B9C8BE" w14:textId="77777777" w:rsidR="00657720" w:rsidRDefault="00657720" w:rsidP="00AD28BC">
      <w:pPr>
        <w:pStyle w:val="ab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r w:rsidRPr="00834625">
        <w:lastRenderedPageBreak/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proofErr w:type="spellStart"/>
      <w:r w:rsidRPr="00282C7B">
        <w:t>Фленов</w:t>
      </w:r>
      <w:proofErr w:type="spellEnd"/>
      <w:r w:rsidRPr="00282C7B">
        <w:t>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>. пользователей. – Текст : электронный.</w:t>
      </w:r>
    </w:p>
    <w:p w14:paraId="40E925C6" w14:textId="77777777" w:rsidR="00657720" w:rsidRDefault="00657720" w:rsidP="00AF631A">
      <w:pPr>
        <w:pStyle w:val="ab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систем :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r w:rsidRPr="00657720">
        <w:t xml:space="preserve">Москва :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proofErr w:type="spellStart"/>
      <w:r w:rsidRPr="00641D3C">
        <w:t>Хорев</w:t>
      </w:r>
      <w:proofErr w:type="spellEnd"/>
      <w:r w:rsidRPr="00641D3C">
        <w:t xml:space="preserve">, П. Б. Объектно-ориентированное программирование с примерами на С# :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2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c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2DC1" w14:textId="77777777" w:rsidR="00D70E82" w:rsidRDefault="00D70E82" w:rsidP="00BE442A">
      <w:r>
        <w:separator/>
      </w:r>
    </w:p>
    <w:p w14:paraId="53072672" w14:textId="77777777" w:rsidR="00D70E82" w:rsidRDefault="00D70E82"/>
  </w:endnote>
  <w:endnote w:type="continuationSeparator" w:id="0">
    <w:p w14:paraId="37D35B85" w14:textId="77777777" w:rsidR="00D70E82" w:rsidRDefault="00D70E82" w:rsidP="00BE442A">
      <w:r>
        <w:continuationSeparator/>
      </w:r>
    </w:p>
    <w:p w14:paraId="426ACAA5" w14:textId="77777777" w:rsidR="00D70E82" w:rsidRDefault="00D70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6497" w14:textId="77777777" w:rsidR="00D70E82" w:rsidRDefault="00D70E82" w:rsidP="00BE442A">
      <w:r>
        <w:separator/>
      </w:r>
    </w:p>
    <w:p w14:paraId="4C29CAB9" w14:textId="77777777" w:rsidR="00D70E82" w:rsidRDefault="00D70E82"/>
  </w:footnote>
  <w:footnote w:type="continuationSeparator" w:id="0">
    <w:p w14:paraId="5C7B546D" w14:textId="77777777" w:rsidR="00D70E82" w:rsidRDefault="00D70E82" w:rsidP="00BE442A">
      <w:r>
        <w:continuationSeparator/>
      </w:r>
    </w:p>
    <w:p w14:paraId="0262BA56" w14:textId="77777777" w:rsidR="00D70E82" w:rsidRDefault="00D70E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096071D"/>
    <w:multiLevelType w:val="hybridMultilevel"/>
    <w:tmpl w:val="35B83C74"/>
    <w:lvl w:ilvl="0" w:tplc="299A7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8AF126C"/>
    <w:multiLevelType w:val="multilevel"/>
    <w:tmpl w:val="23BE8A28"/>
    <w:lvl w:ilvl="0">
      <w:start w:val="1"/>
      <w:numFmt w:val="decimal"/>
      <w:pStyle w:val="ad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7"/>
  </w:num>
  <w:num w:numId="1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4838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C32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01BB"/>
    <w:rsid w:val="00282C7B"/>
    <w:rsid w:val="00290CA0"/>
    <w:rsid w:val="0029248F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87570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E754D"/>
    <w:rsid w:val="004F3D18"/>
    <w:rsid w:val="004F57AD"/>
    <w:rsid w:val="00500F84"/>
    <w:rsid w:val="00502DA2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1E61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B5E16"/>
    <w:rsid w:val="006C0252"/>
    <w:rsid w:val="006D0C96"/>
    <w:rsid w:val="006D2B88"/>
    <w:rsid w:val="006D44B5"/>
    <w:rsid w:val="006E33F6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656F8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25F4"/>
    <w:rsid w:val="00AC3668"/>
    <w:rsid w:val="00AC625D"/>
    <w:rsid w:val="00AD28BC"/>
    <w:rsid w:val="00AD6B97"/>
    <w:rsid w:val="00AD7AD6"/>
    <w:rsid w:val="00AE19CD"/>
    <w:rsid w:val="00AE3A6D"/>
    <w:rsid w:val="00AF0B54"/>
    <w:rsid w:val="00AF1F40"/>
    <w:rsid w:val="00AF2395"/>
    <w:rsid w:val="00AF631A"/>
    <w:rsid w:val="00B01B17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62E3A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C17A3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0E82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e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e"/>
    <w:next w:val="ae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e"/>
    <w:next w:val="ae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e"/>
    <w:next w:val="ae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e"/>
    <w:next w:val="ae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e"/>
    <w:next w:val="ae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e"/>
    <w:next w:val="ae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e"/>
    <w:next w:val="ae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e"/>
    <w:next w:val="ae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e"/>
    <w:next w:val="ae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character" w:customStyle="1" w:styleId="21">
    <w:name w:val="Заголовок 2 Знак"/>
    <w:basedOn w:val="af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e"/>
    <w:link w:val="af3"/>
    <w:uiPriority w:val="34"/>
    <w:qFormat/>
    <w:rsid w:val="00F34DDD"/>
    <w:pPr>
      <w:ind w:left="720"/>
      <w:contextualSpacing/>
    </w:pPr>
  </w:style>
  <w:style w:type="paragraph" w:styleId="af4">
    <w:name w:val="header"/>
    <w:basedOn w:val="ae"/>
    <w:link w:val="af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f"/>
    <w:link w:val="af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e"/>
    <w:link w:val="af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f"/>
    <w:link w:val="af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f0"/>
    <w:uiPriority w:val="3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9">
    <w:name w:val="annotation reference"/>
    <w:basedOn w:val="af"/>
    <w:uiPriority w:val="99"/>
    <w:semiHidden/>
    <w:unhideWhenUsed/>
    <w:rsid w:val="00E154A1"/>
    <w:rPr>
      <w:sz w:val="16"/>
      <w:szCs w:val="16"/>
    </w:rPr>
  </w:style>
  <w:style w:type="paragraph" w:styleId="afa">
    <w:name w:val="annotation text"/>
    <w:basedOn w:val="ae"/>
    <w:link w:val="afb"/>
    <w:uiPriority w:val="99"/>
    <w:semiHidden/>
    <w:unhideWhenUsed/>
    <w:rsid w:val="00E154A1"/>
    <w:rPr>
      <w:sz w:val="20"/>
      <w:szCs w:val="20"/>
    </w:rPr>
  </w:style>
  <w:style w:type="character" w:customStyle="1" w:styleId="afb">
    <w:name w:val="Текст примечания Знак"/>
    <w:basedOn w:val="af"/>
    <w:link w:val="afa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154A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Balloon Text"/>
    <w:basedOn w:val="ae"/>
    <w:link w:val="aff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f"/>
    <w:link w:val="afe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0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Strong"/>
    <w:basedOn w:val="af"/>
    <w:uiPriority w:val="22"/>
    <w:qFormat/>
    <w:rsid w:val="007D7BE2"/>
    <w:rPr>
      <w:b/>
      <w:bCs/>
    </w:rPr>
  </w:style>
  <w:style w:type="character" w:customStyle="1" w:styleId="af3">
    <w:name w:val="Абзац списка Знак"/>
    <w:basedOn w:val="af"/>
    <w:link w:val="af2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иложения"/>
    <w:basedOn w:val="ae"/>
    <w:link w:val="aff3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3">
    <w:name w:val="Приложения Знак"/>
    <w:basedOn w:val="af"/>
    <w:link w:val="aff2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4">
    <w:name w:val="Заголовок ненумерованного раздела"/>
    <w:next w:val="aff5"/>
    <w:link w:val="aff6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5">
    <w:name w:val="Основной"/>
    <w:link w:val="aff7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Заголовок ненумерованного раздела Знак"/>
    <w:basedOn w:val="af"/>
    <w:link w:val="aff4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e"/>
    <w:link w:val="aff8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7">
    <w:name w:val="Основной Знак"/>
    <w:basedOn w:val="af"/>
    <w:link w:val="aff5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5"/>
    <w:link w:val="aff9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8">
    <w:name w:val="Простое перечисление Знак"/>
    <w:basedOn w:val="af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5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2"/>
    <w:link w:val="affa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5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9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a">
    <w:name w:val="Подпись рисунка Знак"/>
    <w:basedOn w:val="af3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b">
    <w:name w:val="Рисунок"/>
    <w:basedOn w:val="ae"/>
    <w:next w:val="affc"/>
    <w:link w:val="affd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c">
    <w:name w:val="Неразрывный пробел рисунок"/>
    <w:basedOn w:val="ae"/>
    <w:next w:val="a3"/>
    <w:link w:val="affe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d">
    <w:name w:val="Рисунок Знак"/>
    <w:basedOn w:val="af"/>
    <w:link w:val="affb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e">
    <w:name w:val="Неразрывный пробел рисунок Знак"/>
    <w:basedOn w:val="af"/>
    <w:link w:val="affc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2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">
    <w:name w:val="Normal (Web)"/>
    <w:basedOn w:val="ae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0">
    <w:name w:val="Листинг"/>
    <w:basedOn w:val="ae"/>
    <w:link w:val="afff1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2">
    <w:name w:val="Emphasis"/>
    <w:basedOn w:val="af"/>
    <w:uiPriority w:val="20"/>
    <w:qFormat/>
    <w:rsid w:val="00BE5A64"/>
    <w:rPr>
      <w:i/>
      <w:iCs/>
    </w:rPr>
  </w:style>
  <w:style w:type="character" w:customStyle="1" w:styleId="afff1">
    <w:name w:val="Листинг Знак"/>
    <w:basedOn w:val="af"/>
    <w:link w:val="afff0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2"/>
    <w:next w:val="afff3"/>
    <w:link w:val="afff4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3">
    <w:name w:val="Неразрывный"/>
    <w:basedOn w:val="ae"/>
    <w:link w:val="afff5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4">
    <w:name w:val="Подпись листинга Знак"/>
    <w:basedOn w:val="af3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5">
    <w:name w:val="Неразрывный Знак"/>
    <w:basedOn w:val="af"/>
    <w:link w:val="afff3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e"/>
    <w:next w:val="ae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e"/>
    <w:next w:val="ae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6">
    <w:name w:val="Hyperlink"/>
    <w:basedOn w:val="af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2"/>
    <w:link w:val="afff7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7">
    <w:name w:val="источник Знак"/>
    <w:basedOn w:val="af3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8">
    <w:name w:val="Unresolved Mention"/>
    <w:basedOn w:val="af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e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"/>
    <w:rsid w:val="004718C5"/>
  </w:style>
  <w:style w:type="character" w:customStyle="1" w:styleId="eop">
    <w:name w:val="eop"/>
    <w:basedOn w:val="af"/>
    <w:rsid w:val="004718C5"/>
  </w:style>
  <w:style w:type="paragraph" w:customStyle="1" w:styleId="a7">
    <w:name w:val="Заголовки_подзаголовки_пункты_подпункты"/>
    <w:basedOn w:val="ae"/>
    <w:link w:val="afff9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9">
    <w:name w:val="Заголовки_подзаголовки_пункты_подпункты Знак"/>
    <w:basedOn w:val="af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a">
    <w:name w:val="Placeholder Text"/>
    <w:basedOn w:val="af"/>
    <w:uiPriority w:val="99"/>
    <w:semiHidden/>
    <w:rsid w:val="002F23A3"/>
    <w:rPr>
      <w:color w:val="808080"/>
    </w:rPr>
  </w:style>
  <w:style w:type="paragraph" w:styleId="afffb">
    <w:name w:val="Title"/>
    <w:basedOn w:val="ae"/>
    <w:next w:val="ae"/>
    <w:link w:val="afffc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c">
    <w:name w:val="Заголовок Знак"/>
    <w:basedOn w:val="af"/>
    <w:link w:val="afffb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d">
    <w:name w:val="No Spacing"/>
    <w:link w:val="afffe"/>
    <w:uiPriority w:val="1"/>
    <w:rsid w:val="002F23A3"/>
    <w:pPr>
      <w:spacing w:after="0" w:line="240" w:lineRule="auto"/>
    </w:pPr>
  </w:style>
  <w:style w:type="paragraph" w:customStyle="1" w:styleId="affff">
    <w:name w:val="ПЗ"/>
    <w:basedOn w:val="ae"/>
    <w:link w:val="affff0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0">
    <w:name w:val="ПЗ Знак"/>
    <w:basedOn w:val="af"/>
    <w:link w:val="affff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b"/>
    <w:link w:val="affff1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"/>
    <w:link w:val="affff2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1">
    <w:name w:val="Заголовки Знак"/>
    <w:basedOn w:val="afffc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3">
    <w:name w:val="нумерация"/>
    <w:basedOn w:val="affff"/>
    <w:link w:val="affff4"/>
    <w:rsid w:val="002F23A3"/>
  </w:style>
  <w:style w:type="character" w:customStyle="1" w:styleId="affff2">
    <w:name w:val="Подзаголовки Знак"/>
    <w:basedOn w:val="affff0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5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4">
    <w:name w:val="нумерация Знак"/>
    <w:basedOn w:val="affff0"/>
    <w:link w:val="affff3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e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5">
    <w:name w:val="нечто Знак"/>
    <w:basedOn w:val="affff2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6">
    <w:name w:val="Попробуем?"/>
    <w:basedOn w:val="afffd"/>
    <w:link w:val="affff7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e">
    <w:name w:val="Без интервала Знак"/>
    <w:basedOn w:val="af"/>
    <w:link w:val="afffd"/>
    <w:uiPriority w:val="1"/>
    <w:rsid w:val="002F23A3"/>
  </w:style>
  <w:style w:type="character" w:customStyle="1" w:styleId="affff7">
    <w:name w:val="Попробуем? Знак"/>
    <w:basedOn w:val="afffe"/>
    <w:link w:val="affff6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6"/>
    <w:link w:val="affff8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8">
    <w:name w:val="Основные компетенции Знак"/>
    <w:basedOn w:val="affff7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9">
    <w:name w:val="Прописной заголовок"/>
    <w:basedOn w:val="ae"/>
    <w:link w:val="affffa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"/>
    <w:link w:val="affffb"/>
    <w:qFormat/>
    <w:rsid w:val="002F23A3"/>
    <w:pPr>
      <w:numPr>
        <w:numId w:val="13"/>
      </w:numPr>
    </w:pPr>
    <w:rPr>
      <w:lang w:val="en-US"/>
    </w:rPr>
  </w:style>
  <w:style w:type="character" w:customStyle="1" w:styleId="affffa">
    <w:name w:val="Прописной заголовок Знак"/>
    <w:basedOn w:val="af"/>
    <w:link w:val="affff9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2"/>
    <w:link w:val="affffc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b">
    <w:name w:val="Многоуровневое перечисление (тире Знак"/>
    <w:aliases w:val="цифры х2) Знак"/>
    <w:basedOn w:val="affff0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c">
    <w:name w:val="Перечисление Знак"/>
    <w:basedOn w:val="af3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d">
    <w:name w:val="Иллюстрации"/>
    <w:basedOn w:val="affff"/>
    <w:link w:val="affffe"/>
    <w:qFormat/>
    <w:rsid w:val="002F23A3"/>
    <w:pPr>
      <w:ind w:firstLine="0"/>
      <w:jc w:val="center"/>
    </w:pPr>
  </w:style>
  <w:style w:type="paragraph" w:customStyle="1" w:styleId="afffff">
    <w:name w:val="Содержание"/>
    <w:basedOn w:val="affff"/>
    <w:link w:val="afffff0"/>
    <w:qFormat/>
    <w:rsid w:val="002F23A3"/>
    <w:pPr>
      <w:tabs>
        <w:tab w:val="right" w:leader="dot" w:pos="9356"/>
      </w:tabs>
    </w:pPr>
  </w:style>
  <w:style w:type="character" w:customStyle="1" w:styleId="affffe">
    <w:name w:val="Иллюстрации Знак"/>
    <w:basedOn w:val="affff0"/>
    <w:link w:val="affffd"/>
    <w:rsid w:val="002F23A3"/>
    <w:rPr>
      <w:rFonts w:ascii="Times New Roman" w:hAnsi="Times New Roman"/>
      <w:sz w:val="28"/>
    </w:rPr>
  </w:style>
  <w:style w:type="character" w:customStyle="1" w:styleId="afffff0">
    <w:name w:val="Содержание Знак"/>
    <w:basedOn w:val="affff0"/>
    <w:link w:val="afffff"/>
    <w:rsid w:val="002F23A3"/>
    <w:rPr>
      <w:rFonts w:ascii="Times New Roman" w:hAnsi="Times New Roman"/>
      <w:sz w:val="28"/>
    </w:rPr>
  </w:style>
  <w:style w:type="character" w:styleId="afffff1">
    <w:name w:val="FollowedHyperlink"/>
    <w:basedOn w:val="af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2">
    <w:name w:val="TOC Heading"/>
    <w:basedOn w:val="11"/>
    <w:next w:val="ae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"/>
    <w:link w:val="afffff3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3">
    <w:name w:val="–Перечисление Знак"/>
    <w:basedOn w:val="affff0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4">
    <w:name w:val="Таблица"/>
    <w:basedOn w:val="affff"/>
    <w:link w:val="afffff5"/>
    <w:qFormat/>
    <w:rsid w:val="002F23A3"/>
    <w:pPr>
      <w:spacing w:line="240" w:lineRule="auto"/>
      <w:ind w:firstLine="0"/>
    </w:pPr>
  </w:style>
  <w:style w:type="character" w:customStyle="1" w:styleId="afffff5">
    <w:name w:val="Таблица Знак"/>
    <w:basedOn w:val="affff0"/>
    <w:link w:val="afffff4"/>
    <w:rsid w:val="002F23A3"/>
    <w:rPr>
      <w:rFonts w:ascii="Times New Roman" w:hAnsi="Times New Roman"/>
      <w:sz w:val="28"/>
    </w:rPr>
  </w:style>
  <w:style w:type="paragraph" w:customStyle="1" w:styleId="afffff6">
    <w:name w:val="Для таблиц"/>
    <w:basedOn w:val="KP"/>
    <w:link w:val="afffff7"/>
    <w:rsid w:val="002F23A3"/>
    <w:pPr>
      <w:spacing w:line="240" w:lineRule="auto"/>
      <w:ind w:firstLine="0"/>
      <w:contextualSpacing/>
    </w:pPr>
  </w:style>
  <w:style w:type="character" w:customStyle="1" w:styleId="afffff7">
    <w:name w:val="Для таблиц Знак"/>
    <w:basedOn w:val="KP0"/>
    <w:link w:val="afffff6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8">
    <w:name w:val="Формулы"/>
    <w:basedOn w:val="affff"/>
    <w:link w:val="afffff9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a">
    <w:name w:val="ПЗОсн Знак"/>
    <w:basedOn w:val="af"/>
    <w:link w:val="afffffb"/>
    <w:locked/>
    <w:rsid w:val="002F23A3"/>
    <w:rPr>
      <w:rFonts w:ascii="Times New Roman" w:hAnsi="Times New Roman" w:cs="Times New Roman"/>
      <w:sz w:val="28"/>
    </w:rPr>
  </w:style>
  <w:style w:type="character" w:customStyle="1" w:styleId="afffff9">
    <w:name w:val="Формулы Знак"/>
    <w:basedOn w:val="affff0"/>
    <w:link w:val="afffff8"/>
    <w:rsid w:val="002F23A3"/>
    <w:rPr>
      <w:rFonts w:ascii="Times New Roman" w:hAnsi="Times New Roman"/>
      <w:sz w:val="28"/>
    </w:rPr>
  </w:style>
  <w:style w:type="paragraph" w:customStyle="1" w:styleId="afffffb">
    <w:name w:val="ПЗОсн"/>
    <w:basedOn w:val="ae"/>
    <w:link w:val="afffffa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e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e"/>
    <w:rsid w:val="002F23A3"/>
    <w:pPr>
      <w:spacing w:before="100" w:beforeAutospacing="1" w:after="100" w:afterAutospacing="1"/>
    </w:pPr>
  </w:style>
  <w:style w:type="character" w:customStyle="1" w:styleId="afffffc">
    <w:name w:val="КП Знак"/>
    <w:basedOn w:val="af"/>
    <w:link w:val="afffffd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d">
    <w:name w:val="КП"/>
    <w:basedOn w:val="ae"/>
    <w:link w:val="afffffc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e">
    <w:name w:val="Для формул Знак"/>
    <w:basedOn w:val="af"/>
    <w:link w:val="affffff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">
    <w:name w:val="Для формул"/>
    <w:basedOn w:val="ae"/>
    <w:link w:val="afffffe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e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0">
    <w:name w:val="Таблицы Знак"/>
    <w:basedOn w:val="af"/>
    <w:link w:val="affffff1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1">
    <w:name w:val="Таблицы"/>
    <w:basedOn w:val="ae"/>
    <w:link w:val="affffff0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2">
    <w:name w:val="Первая строка пояснений к формуле"/>
    <w:basedOn w:val="affff"/>
    <w:link w:val="affffff3"/>
    <w:qFormat/>
    <w:rsid w:val="002F23A3"/>
    <w:pPr>
      <w:ind w:left="1163" w:hanging="454"/>
    </w:pPr>
  </w:style>
  <w:style w:type="paragraph" w:customStyle="1" w:styleId="affffff4">
    <w:name w:val="вторая и последующие строки в пояснении в формуле"/>
    <w:basedOn w:val="affff"/>
    <w:link w:val="affffff5"/>
    <w:qFormat/>
    <w:rsid w:val="002F23A3"/>
    <w:pPr>
      <w:ind w:left="1162" w:firstLine="0"/>
    </w:pPr>
  </w:style>
  <w:style w:type="character" w:customStyle="1" w:styleId="affffff3">
    <w:name w:val="Первая строка пояснений к формуле Знак"/>
    <w:basedOn w:val="affff0"/>
    <w:link w:val="affffff2"/>
    <w:rsid w:val="002F23A3"/>
    <w:rPr>
      <w:rFonts w:ascii="Times New Roman" w:hAnsi="Times New Roman"/>
      <w:sz w:val="28"/>
    </w:rPr>
  </w:style>
  <w:style w:type="character" w:customStyle="1" w:styleId="affffff5">
    <w:name w:val="вторая и последующие строки в пояснении в формуле Знак"/>
    <w:basedOn w:val="affff0"/>
    <w:link w:val="affffff4"/>
    <w:rsid w:val="002F23A3"/>
    <w:rPr>
      <w:rFonts w:ascii="Times New Roman" w:hAnsi="Times New Roman"/>
      <w:sz w:val="28"/>
    </w:rPr>
  </w:style>
  <w:style w:type="paragraph" w:customStyle="1" w:styleId="ad">
    <w:name w:val="Список источников"/>
    <w:basedOn w:val="aff5"/>
    <w:link w:val="affffff6"/>
    <w:qFormat/>
    <w:rsid w:val="00CC17A3"/>
    <w:pPr>
      <w:numPr>
        <w:numId w:val="17"/>
      </w:numPr>
    </w:pPr>
    <w:rPr>
      <w:szCs w:val="28"/>
    </w:rPr>
  </w:style>
  <w:style w:type="character" w:customStyle="1" w:styleId="affffff6">
    <w:name w:val="Список источников Знак"/>
    <w:basedOn w:val="aff7"/>
    <w:link w:val="ad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739.76</c:v>
                </c:pt>
                <c:pt idx="3">
                  <c:v>4256.96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</TotalTime>
  <Pages>31</Pages>
  <Words>4572</Words>
  <Characters>26061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176</cp:revision>
  <cp:lastPrinted>2022-12-27T14:02:00Z</cp:lastPrinted>
  <dcterms:created xsi:type="dcterms:W3CDTF">2021-05-08T10:32:00Z</dcterms:created>
  <dcterms:modified xsi:type="dcterms:W3CDTF">2023-05-30T16:56:00Z</dcterms:modified>
</cp:coreProperties>
</file>