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hastily changing shoes, I half-run half-shuffle outside in an attempt to both be on time and not draw too much attention. Mara spots me as I leave the building and cheerfully waves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Finally made it through the day, huh?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and I blush in spite of myself.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We’re going shopping.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something. You said you needed dinner,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Sounds good.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 we decide on a fish stew that my mom used to make. Both Mara and I were particularly fond of it as kids. 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6DA"/>
  </w:style>
  <w:style w:type="paragraph" w:styleId="Footer">
    <w:name w:val="footer"/>
    <w:basedOn w:val="Normal"/>
    <w:link w:val="Foot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6D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6Zsj8VFEWqlRNknF5FezdSNxfQ==">AMUW2mUaKFmUUK2nsyHXvqiuv1L/N8CnlqgiE09VWYQyv44HpOWqi/j6iig9s7bAQyobXYk0phZtbyOb5lXYKp/WwLo7TXls53gLlK1pxazwBqzDA+zZ/0U=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