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She probably already felt bad about this entire thing, and talking to Mick probably made it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r w:rsidDel="00000000" w:rsidR="00000000" w:rsidRPr="00000000">
        <w:rPr>
          <w:rtl w:val="0"/>
        </w:rPr>
      </w:r>
    </w:p>
    <w:p w:rsidR="00000000" w:rsidDel="00000000" w:rsidP="00000000" w:rsidRDefault="00000000" w:rsidRPr="00000000" w14:paraId="00000073">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w:t>
      </w:r>
      <w:r w:rsidDel="00000000" w:rsidR="00000000" w:rsidRPr="00000000">
        <w:rPr>
          <w:rFonts w:ascii="Calibri" w:cs="Calibri" w:eastAsia="Calibri" w:hAnsi="Calibri"/>
          <w:sz w:val="24"/>
          <w:szCs w:val="24"/>
          <w:rtl w:val="0"/>
        </w:rPr>
        <w:t xml:space="preserve">friend</w:t>
      </w:r>
      <w:r w:rsidDel="00000000" w:rsidR="00000000" w:rsidRPr="00000000">
        <w:rPr>
          <w:rFonts w:ascii="Calibri" w:cs="Calibri" w:eastAsia="Calibri" w:hAnsi="Calibri"/>
          <w:sz w:val="24"/>
          <w:szCs w:val="24"/>
          <w:rtl w:val="0"/>
        </w:rPr>
        <w:t xml:space="preserve"> I am…</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