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Systematic Futures Research Report</w:t>
      </w:r>
    </w:p>
    <w:p>
      <w:pPr>
        <w:pStyle w:val="Normal"/>
      </w:pPr>
      <w:r>
        <w:rPr>
          <w:b/>
        </w:rPr>
        <w:t>Ricerca e validazione delle strategie su MNQ M6E e CAD</w:t>
      </w:r>
    </w:p>
    <w:p>
      <w:pPr>
        <w:pStyle w:val="Normal"/>
      </w:pPr>
      <w:r>
        <w:rPr>
          <w:b w:val="0"/>
        </w:rPr>
        <w:t>Daniel | Quant Research | Aggiornamento del 14 ottobre 2026</w:t>
      </w:r>
    </w:p>
    <w:p>
      <w:pPr>
        <w:pStyle w:val="Normal"/>
      </w:pPr>
      <w:r>
        <w:rPr>
          <w:b w:val="0"/>
        </w:rPr>
        <w:t>Presento un portafoglio di sei moduli sistematici e il percorso di ricerca che li ha prodotti. Il ledger selezionato contiene 1.549 operazioni dal 2 gennaio 2025 al 2 settembre 2026, con PnL netto modellato di 62.213 USD, profit factor 1,373 e drawdown a operazioni chiuse di 5.007 USD. Sono risultati di ricerca provvisori: non costituiscono un rendimento live certificato o la prova definitiva di un edge trasferibile.</w:t>
      </w:r>
    </w:p>
    <w:p>
      <w:pPr>
        <w:pStyle w:val="Normal"/>
      </w:pPr>
      <w:r>
        <w:rPr>
          <w:b w:val="0"/>
        </w:rPr>
        <w:t>Il contributo della ricerca è separare la previsione della volatilità dalla direzione, utilizzare solo informazioni disponibili al momento della decisione e riconciliare risultati, costi e logica di esecuzione. La copertura 2026 è parziale e differisce tra i moduli. Le pagine seguenti documentano anche i controlli mancanti e le discrepanze tra backtest e motore demo.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328"/>
        <w:gridCol w:w="4032"/>
      </w:tblGrid>
      <w:tr>
        <w:trPr>
          <w:cantSplit/>
          <w:tblHeader/>
        </w:trPr>
        <w:tc>
          <w:tcPr>
            <w:tcW w:type="dxa" w:w="5328"/>
            <w:vAlign w:val="center"/>
            <w:shd w:fill="DDEAF2"/>
            <w:tcMar>
              <w:top w:w="85" w:type="dxa"/>
              <w:left w:w="85" w:type="dxa"/>
              <w:bottom w:w="85" w:type="dxa"/>
              <w:right w:w="85" w:type="dxa"/>
            </w:tcMar>
          </w:tcPr>
          <w:p>
            <w:pPr>
              <w:spacing w:after="60" w:before="60" w:line="240" w:lineRule="auto"/>
              <w:jc w:val="left"/>
            </w:pPr>
            <w:r>
              <w:rPr>
                <w:rFonts w:ascii="Calibri" w:hAnsi="Calibri"/>
                <w:b/>
                <w:sz w:val="19"/>
              </w:rPr>
              <w:t>Indicatore aggregato</w:t>
            </w:r>
          </w:p>
        </w:tc>
        <w:tc>
          <w:tcPr>
            <w:tcW w:type="dxa" w:w="4032"/>
            <w:vAlign w:val="center"/>
            <w:shd w:fill="DDEAF2"/>
            <w:tcMar>
              <w:top w:w="85" w:type="dxa"/>
              <w:left w:w="85" w:type="dxa"/>
              <w:bottom w:w="85" w:type="dxa"/>
              <w:right w:w="85" w:type="dxa"/>
            </w:tcMar>
          </w:tcPr>
          <w:p>
            <w:pPr>
              <w:spacing w:after="60" w:before="60" w:line="240" w:lineRule="auto"/>
              <w:jc w:val="center"/>
            </w:pPr>
            <w:r>
              <w:rPr>
                <w:rFonts w:ascii="Calibri" w:hAnsi="Calibri"/>
                <w:b/>
                <w:sz w:val="19"/>
              </w:rPr>
              <w:t>Valore</w:t>
            </w:r>
          </w:p>
        </w:tc>
      </w:tr>
      <w:tr>
        <w:trPr>
          <w:cantSplit/>
        </w:trPr>
        <w:tc>
          <w:tcPr>
            <w:tcW w:type="dxa" w:w="5328"/>
            <w:vAlign w:val="center"/>
            <w:shd w:fill="FFFFFF"/>
            <w:tcMar>
              <w:top w:w="85" w:type="dxa"/>
              <w:left w:w="85" w:type="dxa"/>
              <w:bottom w:w="85" w:type="dxa"/>
              <w:right w:w="85" w:type="dxa"/>
            </w:tcMar>
          </w:tcPr>
          <w:p>
            <w:pPr>
              <w:spacing w:after="60" w:before="60" w:line="240" w:lineRule="auto"/>
              <w:jc w:val="left"/>
            </w:pPr>
            <w:r>
              <w:rPr>
                <w:rFonts w:ascii="Calibri" w:hAnsi="Calibri"/>
                <w:b w:val="0"/>
                <w:sz w:val="19"/>
              </w:rPr>
              <w:t>Operazioni nel ledger</w:t>
            </w:r>
          </w:p>
        </w:tc>
        <w:tc>
          <w:tcPr>
            <w:tcW w:type="dxa" w:w="4032"/>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1549</w:t>
            </w:r>
          </w:p>
        </w:tc>
      </w:tr>
      <w:tr>
        <w:trPr>
          <w:cantSplit/>
        </w:trPr>
        <w:tc>
          <w:tcPr>
            <w:tcW w:type="dxa" w:w="5328"/>
            <w:vAlign w:val="center"/>
            <w:shd w:fill="F6F8FA"/>
            <w:tcMar>
              <w:top w:w="85" w:type="dxa"/>
              <w:left w:w="85" w:type="dxa"/>
              <w:bottom w:w="85" w:type="dxa"/>
              <w:right w:w="85" w:type="dxa"/>
            </w:tcMar>
          </w:tcPr>
          <w:p>
            <w:pPr>
              <w:spacing w:after="60" w:before="60" w:line="240" w:lineRule="auto"/>
              <w:jc w:val="left"/>
            </w:pPr>
            <w:r>
              <w:rPr>
                <w:rFonts w:ascii="Calibri" w:hAnsi="Calibri"/>
                <w:b w:val="0"/>
                <w:sz w:val="19"/>
              </w:rPr>
              <w:t>Win rate netto</w:t>
            </w:r>
          </w:p>
        </w:tc>
        <w:tc>
          <w:tcPr>
            <w:tcW w:type="dxa" w:w="4032"/>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71,01%</w:t>
            </w:r>
          </w:p>
        </w:tc>
      </w:tr>
      <w:tr>
        <w:trPr>
          <w:cantSplit/>
        </w:trPr>
        <w:tc>
          <w:tcPr>
            <w:tcW w:type="dxa" w:w="5328"/>
            <w:vAlign w:val="center"/>
            <w:shd w:fill="FFFFFF"/>
            <w:tcMar>
              <w:top w:w="85" w:type="dxa"/>
              <w:left w:w="85" w:type="dxa"/>
              <w:bottom w:w="85" w:type="dxa"/>
              <w:right w:w="85" w:type="dxa"/>
            </w:tcMar>
          </w:tcPr>
          <w:p>
            <w:pPr>
              <w:spacing w:after="60" w:before="60" w:line="240" w:lineRule="auto"/>
              <w:jc w:val="left"/>
            </w:pPr>
            <w:r>
              <w:rPr>
                <w:rFonts w:ascii="Calibri" w:hAnsi="Calibri"/>
                <w:b w:val="0"/>
                <w:sz w:val="19"/>
              </w:rPr>
              <w:t>Profit factor</w:t>
            </w:r>
          </w:p>
        </w:tc>
        <w:tc>
          <w:tcPr>
            <w:tcW w:type="dxa" w:w="4032"/>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1,373</w:t>
            </w:r>
          </w:p>
        </w:tc>
      </w:tr>
      <w:tr>
        <w:trPr>
          <w:cantSplit/>
        </w:trPr>
        <w:tc>
          <w:tcPr>
            <w:tcW w:type="dxa" w:w="5328"/>
            <w:vAlign w:val="center"/>
            <w:shd w:fill="F6F8FA"/>
            <w:tcMar>
              <w:top w:w="85" w:type="dxa"/>
              <w:left w:w="85" w:type="dxa"/>
              <w:bottom w:w="85" w:type="dxa"/>
              <w:right w:w="85" w:type="dxa"/>
            </w:tcMar>
          </w:tcPr>
          <w:p>
            <w:pPr>
              <w:spacing w:after="60" w:before="60" w:line="240" w:lineRule="auto"/>
              <w:jc w:val="left"/>
            </w:pPr>
            <w:r>
              <w:rPr>
                <w:rFonts w:ascii="Calibri" w:hAnsi="Calibri"/>
                <w:b w:val="0"/>
                <w:sz w:val="19"/>
              </w:rPr>
              <w:t>Expectancy per riga</w:t>
            </w:r>
          </w:p>
        </w:tc>
        <w:tc>
          <w:tcPr>
            <w:tcW w:type="dxa" w:w="4032"/>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40,16 USD</w:t>
            </w:r>
          </w:p>
        </w:tc>
      </w:tr>
      <w:tr>
        <w:trPr>
          <w:cantSplit/>
        </w:trPr>
        <w:tc>
          <w:tcPr>
            <w:tcW w:type="dxa" w:w="5328"/>
            <w:vAlign w:val="center"/>
            <w:shd w:fill="FFFFFF"/>
            <w:tcMar>
              <w:top w:w="85" w:type="dxa"/>
              <w:left w:w="85" w:type="dxa"/>
              <w:bottom w:w="85" w:type="dxa"/>
              <w:right w:w="85" w:type="dxa"/>
            </w:tcMar>
          </w:tcPr>
          <w:p>
            <w:pPr>
              <w:spacing w:after="60" w:before="60" w:line="240" w:lineRule="auto"/>
              <w:jc w:val="left"/>
            </w:pPr>
            <w:r>
              <w:rPr>
                <w:rFonts w:ascii="Calibri" w:hAnsi="Calibri"/>
                <w:b w:val="0"/>
                <w:sz w:val="19"/>
              </w:rPr>
              <w:t>PnL netto modellato</w:t>
            </w:r>
          </w:p>
        </w:tc>
        <w:tc>
          <w:tcPr>
            <w:tcW w:type="dxa" w:w="4032"/>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62.213,00 USD</w:t>
            </w:r>
          </w:p>
        </w:tc>
      </w:tr>
      <w:tr>
        <w:trPr>
          <w:cantSplit/>
        </w:trPr>
        <w:tc>
          <w:tcPr>
            <w:tcW w:type="dxa" w:w="5328"/>
            <w:vAlign w:val="center"/>
            <w:shd w:fill="F6F8FA"/>
            <w:tcMar>
              <w:top w:w="85" w:type="dxa"/>
              <w:left w:w="85" w:type="dxa"/>
              <w:bottom w:w="85" w:type="dxa"/>
              <w:right w:w="85" w:type="dxa"/>
            </w:tcMar>
          </w:tcPr>
          <w:p>
            <w:pPr>
              <w:spacing w:after="60" w:before="60" w:line="240" w:lineRule="auto"/>
              <w:jc w:val="left"/>
            </w:pPr>
            <w:r>
              <w:rPr>
                <w:rFonts w:ascii="Calibri" w:hAnsi="Calibri"/>
                <w:b w:val="0"/>
                <w:sz w:val="19"/>
              </w:rPr>
              <w:t>Drawdown chiuso</w:t>
            </w:r>
          </w:p>
        </w:tc>
        <w:tc>
          <w:tcPr>
            <w:tcW w:type="dxa" w:w="4032"/>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5.007,00 USD</w:t>
            </w:r>
          </w:p>
        </w:tc>
      </w:tr>
      <w:tr>
        <w:trPr>
          <w:cantSplit/>
        </w:trPr>
        <w:tc>
          <w:tcPr>
            <w:tcW w:type="dxa" w:w="5328"/>
            <w:vAlign w:val="center"/>
            <w:shd w:fill="FFFFFF"/>
            <w:tcMar>
              <w:top w:w="85" w:type="dxa"/>
              <w:left w:w="85" w:type="dxa"/>
              <w:bottom w:w="85" w:type="dxa"/>
              <w:right w:w="85" w:type="dxa"/>
            </w:tcMar>
          </w:tcPr>
          <w:p>
            <w:pPr>
              <w:spacing w:after="60" w:before="60" w:line="240" w:lineRule="auto"/>
              <w:jc w:val="left"/>
            </w:pPr>
            <w:r>
              <w:rPr>
                <w:rFonts w:ascii="Calibri" w:hAnsi="Calibri"/>
                <w:b w:val="0"/>
                <w:sz w:val="19"/>
              </w:rPr>
              <w:t>Sharpe giornaliero proxy</w:t>
            </w:r>
          </w:p>
        </w:tc>
        <w:tc>
          <w:tcPr>
            <w:tcW w:type="dxa" w:w="4032"/>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3,736</w:t>
            </w:r>
          </w:p>
        </w:tc>
      </w:tr>
      <w:tr>
        <w:trPr>
          <w:cantSplit/>
        </w:trPr>
        <w:tc>
          <w:tcPr>
            <w:tcW w:type="dxa" w:w="5328"/>
            <w:vAlign w:val="center"/>
            <w:shd w:fill="F6F8FA"/>
            <w:tcMar>
              <w:top w:w="85" w:type="dxa"/>
              <w:left w:w="85" w:type="dxa"/>
              <w:bottom w:w="85" w:type="dxa"/>
              <w:right w:w="85" w:type="dxa"/>
            </w:tcMar>
          </w:tcPr>
          <w:p>
            <w:pPr>
              <w:spacing w:after="60" w:before="60" w:line="240" w:lineRule="auto"/>
              <w:jc w:val="left"/>
            </w:pPr>
            <w:r>
              <w:rPr>
                <w:rFonts w:ascii="Calibri" w:hAnsi="Calibri"/>
                <w:b w:val="0"/>
                <w:sz w:val="19"/>
              </w:rPr>
              <w:t>Capitale di riferimento</w:t>
            </w:r>
          </w:p>
        </w:tc>
        <w:tc>
          <w:tcPr>
            <w:tcW w:type="dxa" w:w="4032"/>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50.000 USD</w:t>
            </w:r>
          </w:p>
        </w:tc>
      </w:tr>
      <w:tr>
        <w:trPr>
          <w:cantSplit/>
        </w:trPr>
        <w:tc>
          <w:tcPr>
            <w:tcW w:type="dxa" w:w="5328"/>
            <w:vAlign w:val="center"/>
            <w:shd w:fill="FFFFFF"/>
            <w:tcMar>
              <w:top w:w="85" w:type="dxa"/>
              <w:left w:w="85" w:type="dxa"/>
              <w:bottom w:w="85" w:type="dxa"/>
              <w:right w:w="85" w:type="dxa"/>
            </w:tcMar>
          </w:tcPr>
          <w:p>
            <w:pPr>
              <w:spacing w:after="60" w:before="60" w:line="240" w:lineRule="auto"/>
              <w:jc w:val="left"/>
            </w:pPr>
            <w:r>
              <w:rPr>
                <w:rFonts w:ascii="Calibri" w:hAnsi="Calibri"/>
                <w:b w:val="0"/>
                <w:sz w:val="19"/>
              </w:rPr>
              <w:t>Rischio pianificato massimo per setup</w:t>
            </w:r>
          </w:p>
        </w:tc>
        <w:tc>
          <w:tcPr>
            <w:tcW w:type="dxa" w:w="4032"/>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500 USD</w:t>
            </w:r>
          </w:p>
        </w:tc>
      </w:tr>
      <w:tr>
        <w:trPr>
          <w:cantSplit/>
        </w:trPr>
        <w:tc>
          <w:tcPr>
            <w:tcW w:type="dxa" w:w="5328"/>
            <w:vAlign w:val="center"/>
            <w:shd w:fill="F6F8FA"/>
            <w:tcMar>
              <w:top w:w="85" w:type="dxa"/>
              <w:left w:w="85" w:type="dxa"/>
              <w:bottom w:w="85" w:type="dxa"/>
              <w:right w:w="85" w:type="dxa"/>
            </w:tcMar>
          </w:tcPr>
          <w:p>
            <w:pPr>
              <w:spacing w:after="60" w:before="60" w:line="240" w:lineRule="auto"/>
              <w:jc w:val="left"/>
            </w:pPr>
            <w:r>
              <w:rPr>
                <w:rFonts w:ascii="Calibri" w:hAnsi="Calibri"/>
                <w:b w:val="0"/>
                <w:sz w:val="19"/>
              </w:rPr>
              <w:t>Costo modellato</w:t>
            </w:r>
          </w:p>
        </w:tc>
        <w:tc>
          <w:tcPr>
            <w:tcW w:type="dxa" w:w="4032"/>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1 USD round trip per contratto</w:t>
            </w:r>
          </w:p>
        </w:tc>
      </w:tr>
    </w:tbl>
    <w:p>
      <w:pPr>
        <w:spacing w:after="60"/>
      </w:pPr>
    </w:p>
    <w:p>
      <w:r>
        <w:br w:type="page"/>
      </w:r>
    </w:p>
    <w:p>
      <w:pPr>
        <w:pStyle w:val="Heading1"/>
      </w:pPr>
      <w:r>
        <w:t>1 Domanda di ricerca</w:t>
      </w:r>
    </w:p>
    <w:p>
      <w:pPr>
        <w:pStyle w:val="Normal"/>
      </w:pPr>
      <w:r>
        <w:rPr>
          <w:b w:val="0"/>
        </w:rPr>
        <w:t>Un insieme di segnali di volatilità, order flow e livelli intraday può produrre rendimenti netti sufficientemente stabili da giustificare una successiva verifica demo a parametri congelati? La ricerca verifica separatamente la capacità di anticipare espansione o contrazione del range, la selezione delle entrate e il contributo delle regole di uscita. Un elevato win rate non è assunto come prova di redditività: stop, target, frequenza, costi e perdite di coda determinano il risultato economico.</w:t>
      </w:r>
    </w:p>
    <w:p>
      <w:pPr>
        <w:pStyle w:val="Heading1"/>
      </w:pPr>
      <w:r>
        <w:t>2 Ipotesi economiche</w:t>
      </w:r>
    </w:p>
    <w:p>
      <w:pPr>
        <w:pStyle w:val="Normal"/>
      </w:pPr>
      <w:r>
        <w:rPr>
          <w:b w:val="0"/>
        </w:rPr>
        <w:t>Il modello VXN ipotizza persistenza dello stato di volatilità: range relativi, wick e sequenze recenti contengono informazione sul range della barra successiva. Il reversal prova una successiva ipotesi distinta, ossia il riassorbimento di un eccesso rispetto a una banda prevista.</w:t>
      </w:r>
    </w:p>
    <w:p>
      <w:pPr>
        <w:pStyle w:val="Normal"/>
      </w:pPr>
      <w:r>
        <w:rPr>
          <w:b w:val="0"/>
        </w:rPr>
        <w:t>CVD M6E ricerca rimbalzi dopo barre orarie ribassiste accompagnate da delta positivo. Impulso MNQ ricerca continuation dopo movimenti ampi e direzionali, condizionata dagli indicatori della barra completata. Il CAD fade assume riassorbimento oltre i livelli del giorno precedente. Vault e Overnight assumono invece prosecuzione in condizioni di breakout. Sono ipotesi interpretative, non spiegazioni causali dimostrate.</w:t>
      </w:r>
    </w:p>
    <w:p>
      <w:pPr>
        <w:pStyle w:val="Heading1"/>
      </w:pPr>
      <w:r>
        <w:t>3 Separazione tra segnale esecuzione rischio e portafoglio</w:t>
      </w:r>
    </w:p>
    <w:p>
      <w:pPr>
        <w:pStyle w:val="Normal"/>
      </w:pPr>
      <w:r>
        <w:rPr>
          <w:b w:val="0"/>
        </w:rPr>
        <w:t>Il segnale definisce quando esiste una condizione osservabile. L’esecuzione definisce prezzo e disponibilità del fill, ritardo, scadenza e ordine temporale di TP e SL. Il rischio determina quantità e perdite ammissibili. Il portafoglio aggrega le serie e gestisce sovrapposizioni.</w:t>
      </w:r>
    </w:p>
    <w:p>
      <w:pPr>
        <w:pStyle w:val="Normal"/>
      </w:pPr>
      <w:r>
        <w:rPr>
          <w:b w:val="0"/>
        </w:rPr>
        <w:t>I risultati pubblicati delle sei strategie includono la size di portafoglio; il modulo Impulso dispone anche di un ledger a un solo MNQ. I due risultati non sono intercambiabili. Nel demo una barriera account per simbolo può rifiutare ingressi contemporanei su MNQ; il portafoglio storico è invece una somma di sleeve indipendenti.</w:t>
      </w:r>
    </w:p>
    <w:p>
      <w:pPr>
        <w:pStyle w:val="Heading1"/>
      </w:pPr>
      <w:r>
        <w:t>4 Dataset e perimetro</w:t>
      </w:r>
    </w:p>
    <w:p>
      <w:pPr>
        <w:pStyle w:val="Normal"/>
      </w:pPr>
      <w:r>
        <w:rPr>
          <w:b w:val="0"/>
        </w:rPr>
        <w:t>La serie consolidata ha 1.549 righe con strategia, timestamp legacy, PnL, quantità, rischio pianificato e descrizione del costo. I timestamp sono interpretati come UTC per una ricostruzione deterministica, ma l’attribuzione upstream a entrata o uscita e l’allineamento temporale richiedono verifica indipendente prima dell’utilizzo operativo. Le statistiche per trade non dipendono dall’etichetta giornaliera; Sharpe, statistiche orarie e correlazioni invece sì. [S1]</w:t>
      </w:r>
    </w:p>
    <w:p>
      <w:pPr>
        <w:pStyle w:val="Normal"/>
      </w:pPr>
      <w:r>
        <w:rPr>
          <w:b w:val="0"/>
        </w:rPr>
        <w:t>La ricerca VXN dispone di 7.783 predizioni a 15 minuti con etichetta binaria osservata e probabilità prevista. Il 2025 comprende 4.725 barre e il 2026 3.058. I dati di previsione del range numerico coprono rispettivamente 250 e 161 sedute. Non sono pubblicati tick grezzi o quotazioni licenziate. [S2]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864"/>
        <w:gridCol w:w="2520"/>
        <w:gridCol w:w="2520"/>
      </w:tblGrid>
      <w:tr>
        <w:trPr>
          <w:cantSplit/>
          <w:tblHeader/>
        </w:trPr>
        <w:tc>
          <w:tcPr>
            <w:tcW w:type="dxa" w:w="3456"/>
            <w:vAlign w:val="center"/>
            <w:shd w:fill="DDEAF2"/>
            <w:tcMar>
              <w:top w:w="85" w:type="dxa"/>
              <w:left w:w="85" w:type="dxa"/>
              <w:bottom w:w="85" w:type="dxa"/>
              <w:right w:w="85" w:type="dxa"/>
            </w:tcMar>
          </w:tcPr>
          <w:p>
            <w:pPr>
              <w:spacing w:after="60" w:before="60" w:line="240" w:lineRule="auto"/>
              <w:jc w:val="left"/>
            </w:pPr>
            <w:r>
              <w:rPr>
                <w:rFonts w:ascii="Calibri" w:hAnsi="Calibri"/>
                <w:b/>
                <w:sz w:val="19"/>
              </w:rPr>
              <w:t>Modulo</w:t>
            </w:r>
          </w:p>
        </w:tc>
        <w:tc>
          <w:tcPr>
            <w:tcW w:type="dxa" w:w="864"/>
            <w:vAlign w:val="center"/>
            <w:shd w:fill="DDEAF2"/>
            <w:tcMar>
              <w:top w:w="85" w:type="dxa"/>
              <w:left w:w="85" w:type="dxa"/>
              <w:bottom w:w="85" w:type="dxa"/>
              <w:right w:w="85" w:type="dxa"/>
            </w:tcMar>
          </w:tcPr>
          <w:p>
            <w:pPr>
              <w:spacing w:after="60" w:before="60" w:line="240" w:lineRule="auto"/>
              <w:jc w:val="center"/>
            </w:pPr>
            <w:r>
              <w:rPr>
                <w:rFonts w:ascii="Calibri" w:hAnsi="Calibri"/>
                <w:b/>
                <w:sz w:val="19"/>
              </w:rPr>
              <w:t>Righe</w:t>
            </w:r>
          </w:p>
        </w:tc>
        <w:tc>
          <w:tcPr>
            <w:tcW w:type="dxa" w:w="2520"/>
            <w:vAlign w:val="center"/>
            <w:shd w:fill="DDEAF2"/>
            <w:tcMar>
              <w:top w:w="85" w:type="dxa"/>
              <w:left w:w="85" w:type="dxa"/>
              <w:bottom w:w="85" w:type="dxa"/>
              <w:right w:w="85" w:type="dxa"/>
            </w:tcMar>
          </w:tcPr>
          <w:p>
            <w:pPr>
              <w:spacing w:after="60" w:before="60" w:line="240" w:lineRule="auto"/>
              <w:jc w:val="center"/>
            </w:pPr>
            <w:r>
              <w:rPr>
                <w:rFonts w:ascii="Calibri" w:hAnsi="Calibri"/>
                <w:b/>
                <w:sz w:val="19"/>
              </w:rPr>
              <w:t>Prima osservazione</w:t>
            </w:r>
          </w:p>
        </w:tc>
        <w:tc>
          <w:tcPr>
            <w:tcW w:type="dxa" w:w="2520"/>
            <w:vAlign w:val="center"/>
            <w:shd w:fill="DDEAF2"/>
            <w:tcMar>
              <w:top w:w="85" w:type="dxa"/>
              <w:left w:w="85" w:type="dxa"/>
              <w:bottom w:w="85" w:type="dxa"/>
              <w:right w:w="85" w:type="dxa"/>
            </w:tcMar>
          </w:tcPr>
          <w:p>
            <w:pPr>
              <w:spacing w:after="60" w:before="60" w:line="240" w:lineRule="auto"/>
              <w:jc w:val="center"/>
            </w:pPr>
            <w:r>
              <w:rPr>
                <w:rFonts w:ascii="Calibri" w:hAnsi="Calibri"/>
                <w:b/>
                <w:sz w:val="19"/>
              </w:rPr>
              <w:t>Ultima osservazione</w:t>
            </w:r>
          </w:p>
        </w:tc>
      </w:tr>
      <w:tr>
        <w:trPr>
          <w:cantSplit/>
        </w:trPr>
        <w:tc>
          <w:tcPr>
            <w:tcW w:type="dxa" w:w="3456"/>
            <w:vAlign w:val="center"/>
            <w:shd w:fill="FFFFFF"/>
            <w:tcMar>
              <w:top w:w="85" w:type="dxa"/>
              <w:left w:w="85" w:type="dxa"/>
              <w:bottom w:w="85" w:type="dxa"/>
              <w:right w:w="85" w:type="dxa"/>
            </w:tcMar>
          </w:tcPr>
          <w:p>
            <w:pPr>
              <w:spacing w:after="60" w:before="60" w:line="240" w:lineRule="auto"/>
              <w:jc w:val="left"/>
            </w:pPr>
            <w:r>
              <w:rPr>
                <w:rFonts w:ascii="Calibri" w:hAnsi="Calibri"/>
                <w:b w:val="0"/>
                <w:sz w:val="19"/>
              </w:rPr>
              <w:t>CVD M6E</w:t>
            </w:r>
          </w:p>
        </w:tc>
        <w:tc>
          <w:tcPr>
            <w:tcW w:type="dxa" w:w="864"/>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338</w:t>
            </w:r>
          </w:p>
        </w:tc>
        <w:tc>
          <w:tcPr>
            <w:tcW w:type="dxa" w:w="2520"/>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2025-01-02</w:t>
            </w:r>
          </w:p>
        </w:tc>
        <w:tc>
          <w:tcPr>
            <w:tcW w:type="dxa" w:w="2520"/>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2026-08-28</w:t>
            </w:r>
          </w:p>
        </w:tc>
      </w:tr>
      <w:tr>
        <w:trPr>
          <w:cantSplit/>
        </w:trPr>
        <w:tc>
          <w:tcPr>
            <w:tcW w:type="dxa" w:w="3456"/>
            <w:vAlign w:val="center"/>
            <w:shd w:fill="F6F8FA"/>
            <w:tcMar>
              <w:top w:w="85" w:type="dxa"/>
              <w:left w:w="85" w:type="dxa"/>
              <w:bottom w:w="85" w:type="dxa"/>
              <w:right w:w="85" w:type="dxa"/>
            </w:tcMar>
          </w:tcPr>
          <w:p>
            <w:pPr>
              <w:spacing w:after="60" w:before="60" w:line="240" w:lineRule="auto"/>
              <w:jc w:val="left"/>
            </w:pPr>
            <w:r>
              <w:rPr>
                <w:rFonts w:ascii="Calibri" w:hAnsi="Calibri"/>
                <w:b w:val="0"/>
                <w:sz w:val="19"/>
              </w:rPr>
              <w:t>Impulso MNQ</w:t>
            </w:r>
          </w:p>
        </w:tc>
        <w:tc>
          <w:tcPr>
            <w:tcW w:type="dxa" w:w="864"/>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411</w:t>
            </w:r>
          </w:p>
        </w:tc>
        <w:tc>
          <w:tcPr>
            <w:tcW w:type="dxa" w:w="2520"/>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2025-01-02</w:t>
            </w:r>
          </w:p>
        </w:tc>
        <w:tc>
          <w:tcPr>
            <w:tcW w:type="dxa" w:w="2520"/>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2026-08-24</w:t>
            </w:r>
          </w:p>
        </w:tc>
      </w:tr>
      <w:tr>
        <w:trPr>
          <w:cantSplit/>
        </w:trPr>
        <w:tc>
          <w:tcPr>
            <w:tcW w:type="dxa" w:w="3456"/>
            <w:vAlign w:val="center"/>
            <w:shd w:fill="FFFFFF"/>
            <w:tcMar>
              <w:top w:w="85" w:type="dxa"/>
              <w:left w:w="85" w:type="dxa"/>
              <w:bottom w:w="85" w:type="dxa"/>
              <w:right w:w="85" w:type="dxa"/>
            </w:tcMar>
          </w:tcPr>
          <w:p>
            <w:pPr>
              <w:spacing w:after="60" w:before="60" w:line="240" w:lineRule="auto"/>
              <w:jc w:val="left"/>
            </w:pPr>
            <w:r>
              <w:rPr>
                <w:rFonts w:ascii="Calibri" w:hAnsi="Calibri"/>
                <w:b w:val="0"/>
                <w:sz w:val="19"/>
              </w:rPr>
              <w:t>CAD fade MCD</w:t>
            </w:r>
          </w:p>
        </w:tc>
        <w:tc>
          <w:tcPr>
            <w:tcW w:type="dxa" w:w="864"/>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171</w:t>
            </w:r>
          </w:p>
        </w:tc>
        <w:tc>
          <w:tcPr>
            <w:tcW w:type="dxa" w:w="2520"/>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2025-01-06</w:t>
            </w:r>
          </w:p>
        </w:tc>
        <w:tc>
          <w:tcPr>
            <w:tcW w:type="dxa" w:w="2520"/>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2026-09-02</w:t>
            </w:r>
          </w:p>
        </w:tc>
      </w:tr>
      <w:tr>
        <w:trPr>
          <w:cantSplit/>
        </w:trPr>
        <w:tc>
          <w:tcPr>
            <w:tcW w:type="dxa" w:w="3456"/>
            <w:vAlign w:val="center"/>
            <w:shd w:fill="F6F8FA"/>
            <w:tcMar>
              <w:top w:w="85" w:type="dxa"/>
              <w:left w:w="85" w:type="dxa"/>
              <w:bottom w:w="85" w:type="dxa"/>
              <w:right w:w="85" w:type="dxa"/>
            </w:tcMar>
          </w:tcPr>
          <w:p>
            <w:pPr>
              <w:spacing w:after="60" w:before="60" w:line="240" w:lineRule="auto"/>
              <w:jc w:val="left"/>
            </w:pPr>
            <w:r>
              <w:rPr>
                <w:rFonts w:ascii="Calibri" w:hAnsi="Calibri"/>
                <w:b w:val="0"/>
                <w:sz w:val="19"/>
              </w:rPr>
              <w:t>VXN reversal MNQ</w:t>
            </w:r>
          </w:p>
        </w:tc>
        <w:tc>
          <w:tcPr>
            <w:tcW w:type="dxa" w:w="864"/>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60</w:t>
            </w:r>
          </w:p>
        </w:tc>
        <w:tc>
          <w:tcPr>
            <w:tcW w:type="dxa" w:w="2520"/>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2025-07-07</w:t>
            </w:r>
          </w:p>
        </w:tc>
        <w:tc>
          <w:tcPr>
            <w:tcW w:type="dxa" w:w="2520"/>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2026-08-24</w:t>
            </w:r>
          </w:p>
        </w:tc>
      </w:tr>
      <w:tr>
        <w:trPr>
          <w:cantSplit/>
        </w:trPr>
        <w:tc>
          <w:tcPr>
            <w:tcW w:type="dxa" w:w="3456"/>
            <w:vAlign w:val="center"/>
            <w:shd w:fill="FFFFFF"/>
            <w:tcMar>
              <w:top w:w="85" w:type="dxa"/>
              <w:left w:w="85" w:type="dxa"/>
              <w:bottom w:w="85" w:type="dxa"/>
              <w:right w:w="85" w:type="dxa"/>
            </w:tcMar>
          </w:tcPr>
          <w:p>
            <w:pPr>
              <w:spacing w:after="60" w:before="60" w:line="240" w:lineRule="auto"/>
              <w:jc w:val="left"/>
            </w:pPr>
            <w:r>
              <w:rPr>
                <w:rFonts w:ascii="Calibri" w:hAnsi="Calibri"/>
                <w:b w:val="0"/>
                <w:sz w:val="19"/>
              </w:rPr>
              <w:t>Overnight MNQ</w:t>
            </w:r>
          </w:p>
        </w:tc>
        <w:tc>
          <w:tcPr>
            <w:tcW w:type="dxa" w:w="864"/>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159</w:t>
            </w:r>
          </w:p>
        </w:tc>
        <w:tc>
          <w:tcPr>
            <w:tcW w:type="dxa" w:w="2520"/>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2025-01-02</w:t>
            </w:r>
          </w:p>
        </w:tc>
        <w:tc>
          <w:tcPr>
            <w:tcW w:type="dxa" w:w="2520"/>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2026-08-20</w:t>
            </w:r>
          </w:p>
        </w:tc>
      </w:tr>
      <w:tr>
        <w:trPr>
          <w:cantSplit/>
        </w:trPr>
        <w:tc>
          <w:tcPr>
            <w:tcW w:type="dxa" w:w="3456"/>
            <w:vAlign w:val="center"/>
            <w:shd w:fill="F6F8FA"/>
            <w:tcMar>
              <w:top w:w="85" w:type="dxa"/>
              <w:left w:w="85" w:type="dxa"/>
              <w:bottom w:w="85" w:type="dxa"/>
              <w:right w:w="85" w:type="dxa"/>
            </w:tcMar>
          </w:tcPr>
          <w:p>
            <w:pPr>
              <w:spacing w:after="60" w:before="60" w:line="240" w:lineRule="auto"/>
              <w:jc w:val="left"/>
            </w:pPr>
            <w:r>
              <w:rPr>
                <w:rFonts w:ascii="Calibri" w:hAnsi="Calibri"/>
                <w:b w:val="0"/>
                <w:sz w:val="19"/>
              </w:rPr>
              <w:t>Vault MNQ</w:t>
            </w:r>
          </w:p>
        </w:tc>
        <w:tc>
          <w:tcPr>
            <w:tcW w:type="dxa" w:w="864"/>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410</w:t>
            </w:r>
          </w:p>
        </w:tc>
        <w:tc>
          <w:tcPr>
            <w:tcW w:type="dxa" w:w="2520"/>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2025-01-03</w:t>
            </w:r>
          </w:p>
        </w:tc>
        <w:tc>
          <w:tcPr>
            <w:tcW w:type="dxa" w:w="2520"/>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2026-08-13</w:t>
            </w:r>
          </w:p>
        </w:tc>
      </w:tr>
    </w:tbl>
    <w:p>
      <w:pPr>
        <w:spacing w:after="60"/>
      </w:pPr>
    </w:p>
    <w:p>
      <w:pPr>
        <w:pStyle w:val="Heading1"/>
      </w:pPr>
      <w:r>
        <w:t>5 Unità di prezzo e valore del tick</w:t>
      </w:r>
    </w:p>
    <w:p>
      <w:pPr>
        <w:pStyle w:val="Normal"/>
      </w:pPr>
      <w:r>
        <w:rPr>
          <w:b w:val="0"/>
        </w:rPr>
        <w:t>MCD identifica il micro future CAD, non il titolo McDonald’s. Il porting demo usa 6C standard: lo stesso scostamento di prezzo produce un importo per contratto diverso. Stop e quantità devono essere convertiti senza copiare i valori monetari del micro. [S1 S7]</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2160"/>
        <w:gridCol w:w="2160"/>
        <w:gridCol w:w="2880"/>
      </w:tblGrid>
      <w:tr>
        <w:trPr>
          <w:cantSplit/>
          <w:tblHeader/>
        </w:trPr>
        <w:tc>
          <w:tcPr>
            <w:tcW w:type="dxa" w:w="2160"/>
            <w:vAlign w:val="center"/>
            <w:shd w:fill="DDEAF2"/>
            <w:tcMar>
              <w:top w:w="85" w:type="dxa"/>
              <w:left w:w="85" w:type="dxa"/>
              <w:bottom w:w="85" w:type="dxa"/>
              <w:right w:w="85" w:type="dxa"/>
            </w:tcMar>
          </w:tcPr>
          <w:p>
            <w:pPr>
              <w:spacing w:after="60" w:before="60" w:line="240" w:lineRule="auto"/>
              <w:jc w:val="left"/>
            </w:pPr>
            <w:r>
              <w:rPr>
                <w:rFonts w:ascii="Calibri" w:hAnsi="Calibri"/>
                <w:b/>
                <w:sz w:val="19"/>
              </w:rPr>
              <w:t>Mercato</w:t>
            </w:r>
          </w:p>
        </w:tc>
        <w:tc>
          <w:tcPr>
            <w:tcW w:type="dxa" w:w="2160"/>
            <w:vAlign w:val="center"/>
            <w:shd w:fill="DDEAF2"/>
            <w:tcMar>
              <w:top w:w="85" w:type="dxa"/>
              <w:left w:w="85" w:type="dxa"/>
              <w:bottom w:w="85" w:type="dxa"/>
              <w:right w:w="85" w:type="dxa"/>
            </w:tcMar>
          </w:tcPr>
          <w:p>
            <w:pPr>
              <w:spacing w:after="60" w:before="60" w:line="240" w:lineRule="auto"/>
              <w:jc w:val="center"/>
            </w:pPr>
            <w:r>
              <w:rPr>
                <w:rFonts w:ascii="Calibri" w:hAnsi="Calibri"/>
                <w:b/>
                <w:sz w:val="19"/>
              </w:rPr>
              <w:t>Tick size</w:t>
            </w:r>
          </w:p>
        </w:tc>
        <w:tc>
          <w:tcPr>
            <w:tcW w:type="dxa" w:w="2160"/>
            <w:vAlign w:val="center"/>
            <w:shd w:fill="DDEAF2"/>
            <w:tcMar>
              <w:top w:w="85" w:type="dxa"/>
              <w:left w:w="85" w:type="dxa"/>
              <w:bottom w:w="85" w:type="dxa"/>
              <w:right w:w="85" w:type="dxa"/>
            </w:tcMar>
          </w:tcPr>
          <w:p>
            <w:pPr>
              <w:spacing w:after="60" w:before="60" w:line="240" w:lineRule="auto"/>
              <w:jc w:val="center"/>
            </w:pPr>
            <w:r>
              <w:rPr>
                <w:rFonts w:ascii="Calibri" w:hAnsi="Calibri"/>
                <w:b/>
                <w:sz w:val="19"/>
              </w:rPr>
              <w:t>USD per tick</w:t>
            </w:r>
          </w:p>
        </w:tc>
        <w:tc>
          <w:tcPr>
            <w:tcW w:type="dxa" w:w="2880"/>
            <w:vAlign w:val="center"/>
            <w:shd w:fill="DDEAF2"/>
            <w:tcMar>
              <w:top w:w="85" w:type="dxa"/>
              <w:left w:w="85" w:type="dxa"/>
              <w:bottom w:w="85" w:type="dxa"/>
              <w:right w:w="85" w:type="dxa"/>
            </w:tcMar>
          </w:tcPr>
          <w:p>
            <w:pPr>
              <w:spacing w:after="60" w:before="60" w:line="240" w:lineRule="auto"/>
              <w:jc w:val="center"/>
            </w:pPr>
            <w:r>
              <w:rPr>
                <w:rFonts w:ascii="Calibri" w:hAnsi="Calibri"/>
                <w:b/>
                <w:sz w:val="19"/>
              </w:rPr>
              <w:t>USD per unità</w:t>
            </w:r>
          </w:p>
        </w:tc>
      </w:tr>
      <w:tr>
        <w:trPr>
          <w:cantSplit/>
        </w:trPr>
        <w:tc>
          <w:tcPr>
            <w:tcW w:type="dxa" w:w="2160"/>
            <w:vAlign w:val="center"/>
            <w:shd w:fill="FFFFFF"/>
            <w:tcMar>
              <w:top w:w="85" w:type="dxa"/>
              <w:left w:w="85" w:type="dxa"/>
              <w:bottom w:w="85" w:type="dxa"/>
              <w:right w:w="85" w:type="dxa"/>
            </w:tcMar>
          </w:tcPr>
          <w:p>
            <w:pPr>
              <w:spacing w:after="60" w:before="60" w:line="240" w:lineRule="auto"/>
              <w:jc w:val="left"/>
            </w:pPr>
            <w:r>
              <w:rPr>
                <w:rFonts w:ascii="Calibri" w:hAnsi="Calibri"/>
                <w:b w:val="0"/>
                <w:sz w:val="19"/>
              </w:rPr>
              <w:t>MNQ</w:t>
            </w:r>
          </w:p>
        </w:tc>
        <w:tc>
          <w:tcPr>
            <w:tcW w:type="dxa" w:w="2160"/>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0,25</w:t>
            </w:r>
          </w:p>
        </w:tc>
        <w:tc>
          <w:tcPr>
            <w:tcW w:type="dxa" w:w="2160"/>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0,50</w:t>
            </w:r>
          </w:p>
        </w:tc>
        <w:tc>
          <w:tcPr>
            <w:tcW w:type="dxa" w:w="2880"/>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2 per punto</w:t>
            </w:r>
          </w:p>
        </w:tc>
      </w:tr>
      <w:tr>
        <w:trPr>
          <w:cantSplit/>
        </w:trPr>
        <w:tc>
          <w:tcPr>
            <w:tcW w:type="dxa" w:w="2160"/>
            <w:vAlign w:val="center"/>
            <w:shd w:fill="F6F8FA"/>
            <w:tcMar>
              <w:top w:w="85" w:type="dxa"/>
              <w:left w:w="85" w:type="dxa"/>
              <w:bottom w:w="85" w:type="dxa"/>
              <w:right w:w="85" w:type="dxa"/>
            </w:tcMar>
          </w:tcPr>
          <w:p>
            <w:pPr>
              <w:spacing w:after="60" w:before="60" w:line="240" w:lineRule="auto"/>
              <w:jc w:val="left"/>
            </w:pPr>
            <w:r>
              <w:rPr>
                <w:rFonts w:ascii="Calibri" w:hAnsi="Calibri"/>
                <w:b w:val="0"/>
                <w:sz w:val="19"/>
              </w:rPr>
              <w:t>M6E</w:t>
            </w:r>
          </w:p>
        </w:tc>
        <w:tc>
          <w:tcPr>
            <w:tcW w:type="dxa" w:w="2160"/>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0,0001</w:t>
            </w:r>
          </w:p>
        </w:tc>
        <w:tc>
          <w:tcPr>
            <w:tcW w:type="dxa" w:w="2160"/>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1,25</w:t>
            </w:r>
          </w:p>
        </w:tc>
        <w:tc>
          <w:tcPr>
            <w:tcW w:type="dxa" w:w="2880"/>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1,25 per 0,0001</w:t>
            </w:r>
          </w:p>
        </w:tc>
      </w:tr>
      <w:tr>
        <w:trPr>
          <w:cantSplit/>
        </w:trPr>
        <w:tc>
          <w:tcPr>
            <w:tcW w:type="dxa" w:w="2160"/>
            <w:vAlign w:val="center"/>
            <w:shd w:fill="FFFFFF"/>
            <w:tcMar>
              <w:top w:w="85" w:type="dxa"/>
              <w:left w:w="85" w:type="dxa"/>
              <w:bottom w:w="85" w:type="dxa"/>
              <w:right w:w="85" w:type="dxa"/>
            </w:tcMar>
          </w:tcPr>
          <w:p>
            <w:pPr>
              <w:spacing w:after="60" w:before="60" w:line="240" w:lineRule="auto"/>
              <w:jc w:val="left"/>
            </w:pPr>
            <w:r>
              <w:rPr>
                <w:rFonts w:ascii="Calibri" w:hAnsi="Calibri"/>
                <w:b w:val="0"/>
                <w:sz w:val="19"/>
              </w:rPr>
              <w:t>MCD</w:t>
            </w:r>
          </w:p>
        </w:tc>
        <w:tc>
          <w:tcPr>
            <w:tcW w:type="dxa" w:w="2160"/>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0,0001</w:t>
            </w:r>
          </w:p>
        </w:tc>
        <w:tc>
          <w:tcPr>
            <w:tcW w:type="dxa" w:w="2160"/>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1,00</w:t>
            </w:r>
          </w:p>
        </w:tc>
        <w:tc>
          <w:tcPr>
            <w:tcW w:type="dxa" w:w="2880"/>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1 per 0,0001</w:t>
            </w:r>
          </w:p>
        </w:tc>
      </w:tr>
      <w:tr>
        <w:trPr>
          <w:cantSplit/>
        </w:trPr>
        <w:tc>
          <w:tcPr>
            <w:tcW w:type="dxa" w:w="2160"/>
            <w:vAlign w:val="center"/>
            <w:shd w:fill="F6F8FA"/>
            <w:tcMar>
              <w:top w:w="85" w:type="dxa"/>
              <w:left w:w="85" w:type="dxa"/>
              <w:bottom w:w="85" w:type="dxa"/>
              <w:right w:w="85" w:type="dxa"/>
            </w:tcMar>
          </w:tcPr>
          <w:p>
            <w:pPr>
              <w:spacing w:after="60" w:before="60" w:line="240" w:lineRule="auto"/>
              <w:jc w:val="left"/>
            </w:pPr>
            <w:r>
              <w:rPr>
                <w:rFonts w:ascii="Calibri" w:hAnsi="Calibri"/>
                <w:b w:val="0"/>
                <w:sz w:val="19"/>
              </w:rPr>
              <w:t>6C standard</w:t>
            </w:r>
          </w:p>
        </w:tc>
        <w:tc>
          <w:tcPr>
            <w:tcW w:type="dxa" w:w="2160"/>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0,00005</w:t>
            </w:r>
          </w:p>
        </w:tc>
        <w:tc>
          <w:tcPr>
            <w:tcW w:type="dxa" w:w="2160"/>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5,00</w:t>
            </w:r>
          </w:p>
        </w:tc>
        <w:tc>
          <w:tcPr>
            <w:tcW w:type="dxa" w:w="2880"/>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10 per 0,0001</w:t>
            </w:r>
          </w:p>
        </w:tc>
      </w:tr>
    </w:tbl>
    <w:p>
      <w:pPr>
        <w:spacing w:after="60"/>
      </w:pPr>
    </w:p>
    <w:p>
      <w:pPr>
        <w:pStyle w:val="Heading1"/>
      </w:pPr>
      <w:r>
        <w:t>6 Pulizia dei dati e integrità temporale</w:t>
      </w:r>
    </w:p>
    <w:p>
      <w:pPr>
        <w:pStyle w:val="Normal"/>
      </w:pPr>
      <w:r>
        <w:rPr>
          <w:b w:val="0"/>
        </w:rPr>
        <w:t>Il rebuild VXN ha controllato 494 giornate e 9.344 barre. 491 file tick erano originariamente non ordinati. Open, high e low coincidevano con i valori ricostruiti; sono state rilevate 604 differenze nei close correnti e 608 nei close successivi. Le differenze di close possono cambiare corpo, direzione e feature del classificatore. Il controllo impone un ordinamento stabile e conta timestamp duplicati; non deduce la vera sequenza di borsa tra print con lo stesso timestamp. [S3]</w:t>
      </w:r>
    </w:p>
    <w:p>
      <w:pPr>
        <w:pStyle w:val="Normal"/>
      </w:pPr>
      <w:r>
        <w:rPr>
          <w:b w:val="0"/>
        </w:rPr>
        <w:t>Il report consolidato verifica timestamp convertibili, PnL finito, quantità intere, esclusione del VWAP Pullback e rischio pianificato non superiore a 500 USD. Questi controlli non sostituiscono la ricostruzione di ogni singolo trade dai tick. Il protocollo locale vieta di dichiarare una verifica tick by tick completa prima del completamento di tutti i controlli.</w:t>
      </w:r>
    </w:p>
    <w:p>
      <w:pPr>
        <w:pStyle w:val="Heading1"/>
      </w:pPr>
      <w:r>
        <w:t>7 Previsione VXN del range a 15 minuti</w:t>
      </w:r>
    </w:p>
    <w:p>
      <w:pPr>
        <w:pStyle w:val="Normal"/>
      </w:pPr>
      <w:r>
        <w:rPr>
          <w:b w:val="0"/>
        </w:rPr>
        <w:t>La scala grezza deriva dal VXN del giorno precedente, annualizzato su 252 sedute e convertito alla durata della barra rispetto a 390 minuti cash. La scala percentuale è moltiplicata per un fattore della fascia oraria stimato sul training. Il target binario è se il successivo high meno low supera il range numerico previsto. Non è un target long o short.</w:t>
      </w:r>
    </w:p>
    <w:p>
      <w:pPr>
        <w:pStyle w:val="Normal"/>
      </w:pPr>
      <w:r>
        <w:rPr>
          <w:b w:val="0"/>
        </w:rPr>
        <w:t>La regressione logistica usa imputazione mediana, standardizzazione, C uguale a 0,25 e pesi bilanciati. Le 29 feature comprendono range relativo, corpo e wick, posizione della chiusura, sequenze e lag completati e stato della seduta. La finestra studiata è 16:00 fino alle 21:00 Europe/Rome. La calibrazione è ricavata dal 2024; i risultati 2025 e 2026 sono valutati separatamente. [S2]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1008"/>
        <w:gridCol w:w="1584"/>
        <w:gridCol w:w="1872"/>
        <w:gridCol w:w="1440"/>
        <w:gridCol w:w="1872"/>
      </w:tblGrid>
      <w:tr>
        <w:trPr>
          <w:cantSplit/>
          <w:tblHeader/>
        </w:trPr>
        <w:tc>
          <w:tcPr>
            <w:tcW w:type="dxa" w:w="1584"/>
            <w:vAlign w:val="center"/>
            <w:shd w:fill="DDEAF2"/>
            <w:tcMar>
              <w:top w:w="85" w:type="dxa"/>
              <w:left w:w="85" w:type="dxa"/>
              <w:bottom w:w="85" w:type="dxa"/>
              <w:right w:w="85" w:type="dxa"/>
            </w:tcMar>
          </w:tcPr>
          <w:p>
            <w:pPr>
              <w:spacing w:after="60" w:before="60" w:line="240" w:lineRule="auto"/>
              <w:jc w:val="left"/>
            </w:pPr>
            <w:r>
              <w:rPr>
                <w:rFonts w:ascii="Calibri" w:hAnsi="Calibri"/>
                <w:b/>
                <w:sz w:val="19"/>
              </w:rPr>
              <w:t>Anno</w:t>
            </w:r>
          </w:p>
        </w:tc>
        <w:tc>
          <w:tcPr>
            <w:tcW w:type="dxa" w:w="1008"/>
            <w:vAlign w:val="center"/>
            <w:shd w:fill="DDEAF2"/>
            <w:tcMar>
              <w:top w:w="85" w:type="dxa"/>
              <w:left w:w="85" w:type="dxa"/>
              <w:bottom w:w="85" w:type="dxa"/>
              <w:right w:w="85" w:type="dxa"/>
            </w:tcMar>
          </w:tcPr>
          <w:p>
            <w:pPr>
              <w:spacing w:after="60" w:before="60" w:line="240" w:lineRule="auto"/>
              <w:jc w:val="center"/>
            </w:pPr>
            <w:r>
              <w:rPr>
                <w:rFonts w:ascii="Calibri" w:hAnsi="Calibri"/>
                <w:b/>
                <w:sz w:val="19"/>
              </w:rPr>
              <w:t>Barre</w:t>
            </w:r>
          </w:p>
        </w:tc>
        <w:tc>
          <w:tcPr>
            <w:tcW w:type="dxa" w:w="1584"/>
            <w:vAlign w:val="center"/>
            <w:shd w:fill="DDEAF2"/>
            <w:tcMar>
              <w:top w:w="85" w:type="dxa"/>
              <w:left w:w="85" w:type="dxa"/>
              <w:bottom w:w="85" w:type="dxa"/>
              <w:right w:w="85" w:type="dxa"/>
            </w:tcMar>
          </w:tcPr>
          <w:p>
            <w:pPr>
              <w:spacing w:after="60" w:before="60" w:line="240" w:lineRule="auto"/>
              <w:jc w:val="center"/>
            </w:pPr>
            <w:r>
              <w:rPr>
                <w:rFonts w:ascii="Calibri" w:hAnsi="Calibri"/>
                <w:b/>
                <w:sz w:val="19"/>
              </w:rPr>
              <w:t>Accuracy totale</w:t>
            </w:r>
          </w:p>
        </w:tc>
        <w:tc>
          <w:tcPr>
            <w:tcW w:type="dxa" w:w="1872"/>
            <w:vAlign w:val="center"/>
            <w:shd w:fill="DDEAF2"/>
            <w:tcMar>
              <w:top w:w="85" w:type="dxa"/>
              <w:left w:w="85" w:type="dxa"/>
              <w:bottom w:w="85" w:type="dxa"/>
              <w:right w:w="85" w:type="dxa"/>
            </w:tcMar>
          </w:tcPr>
          <w:p>
            <w:pPr>
              <w:spacing w:after="60" w:before="60" w:line="240" w:lineRule="auto"/>
              <w:jc w:val="center"/>
            </w:pPr>
            <w:r>
              <w:rPr>
                <w:rFonts w:ascii="Calibri" w:hAnsi="Calibri"/>
                <w:b/>
                <w:sz w:val="19"/>
              </w:rPr>
              <w:t>Segnali alta confidenza</w:t>
            </w:r>
          </w:p>
        </w:tc>
        <w:tc>
          <w:tcPr>
            <w:tcW w:type="dxa" w:w="1440"/>
            <w:vAlign w:val="center"/>
            <w:shd w:fill="DDEAF2"/>
            <w:tcMar>
              <w:top w:w="85" w:type="dxa"/>
              <w:left w:w="85" w:type="dxa"/>
              <w:bottom w:w="85" w:type="dxa"/>
              <w:right w:w="85" w:type="dxa"/>
            </w:tcMar>
          </w:tcPr>
          <w:p>
            <w:pPr>
              <w:spacing w:after="60" w:before="60" w:line="240" w:lineRule="auto"/>
              <w:jc w:val="center"/>
            </w:pPr>
            <w:r>
              <w:rPr>
                <w:rFonts w:ascii="Calibri" w:hAnsi="Calibri"/>
                <w:b/>
                <w:sz w:val="19"/>
              </w:rPr>
              <w:t>Copertura</w:t>
            </w:r>
          </w:p>
        </w:tc>
        <w:tc>
          <w:tcPr>
            <w:tcW w:type="dxa" w:w="1872"/>
            <w:vAlign w:val="center"/>
            <w:shd w:fill="DDEAF2"/>
            <w:tcMar>
              <w:top w:w="85" w:type="dxa"/>
              <w:left w:w="85" w:type="dxa"/>
              <w:bottom w:w="85" w:type="dxa"/>
              <w:right w:w="85" w:type="dxa"/>
            </w:tcMar>
          </w:tcPr>
          <w:p>
            <w:pPr>
              <w:spacing w:after="60" w:before="60" w:line="240" w:lineRule="auto"/>
              <w:jc w:val="center"/>
            </w:pPr>
            <w:r>
              <w:rPr>
                <w:rFonts w:ascii="Calibri" w:hAnsi="Calibri"/>
                <w:b/>
                <w:sz w:val="19"/>
              </w:rPr>
              <w:t>Accuracy selettiva</w:t>
            </w:r>
          </w:p>
        </w:tc>
      </w:tr>
      <w:tr>
        <w:trPr>
          <w:cantSplit/>
        </w:trPr>
        <w:tc>
          <w:tcPr>
            <w:tcW w:type="dxa" w:w="1584"/>
            <w:vAlign w:val="center"/>
            <w:shd w:fill="FFFFFF"/>
            <w:tcMar>
              <w:top w:w="85" w:type="dxa"/>
              <w:left w:w="85" w:type="dxa"/>
              <w:bottom w:w="85" w:type="dxa"/>
              <w:right w:w="85" w:type="dxa"/>
            </w:tcMar>
          </w:tcPr>
          <w:p>
            <w:pPr>
              <w:spacing w:after="60" w:before="60" w:line="240" w:lineRule="auto"/>
              <w:jc w:val="left"/>
            </w:pPr>
            <w:r>
              <w:rPr>
                <w:rFonts w:ascii="Calibri" w:hAnsi="Calibri"/>
                <w:b w:val="0"/>
                <w:sz w:val="19"/>
              </w:rPr>
              <w:t>2025</w:t>
            </w:r>
          </w:p>
        </w:tc>
        <w:tc>
          <w:tcPr>
            <w:tcW w:type="dxa" w:w="1008"/>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4.725</w:t>
            </w:r>
          </w:p>
        </w:tc>
        <w:tc>
          <w:tcPr>
            <w:tcW w:type="dxa" w:w="1584"/>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77,25%</w:t>
            </w:r>
          </w:p>
        </w:tc>
        <w:tc>
          <w:tcPr>
            <w:tcW w:type="dxa" w:w="1872"/>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2.695</w:t>
            </w:r>
          </w:p>
        </w:tc>
        <w:tc>
          <w:tcPr>
            <w:tcW w:type="dxa" w:w="1440"/>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57,04%</w:t>
            </w:r>
          </w:p>
        </w:tc>
        <w:tc>
          <w:tcPr>
            <w:tcW w:type="dxa" w:w="1872"/>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88,68%</w:t>
            </w:r>
          </w:p>
        </w:tc>
      </w:tr>
      <w:tr>
        <w:trPr>
          <w:cantSplit/>
        </w:trPr>
        <w:tc>
          <w:tcPr>
            <w:tcW w:type="dxa" w:w="1584"/>
            <w:vAlign w:val="center"/>
            <w:shd w:fill="F6F8FA"/>
            <w:tcMar>
              <w:top w:w="85" w:type="dxa"/>
              <w:left w:w="85" w:type="dxa"/>
              <w:bottom w:w="85" w:type="dxa"/>
              <w:right w:w="85" w:type="dxa"/>
            </w:tcMar>
          </w:tcPr>
          <w:p>
            <w:pPr>
              <w:spacing w:after="60" w:before="60" w:line="240" w:lineRule="auto"/>
              <w:jc w:val="left"/>
            </w:pPr>
            <w:r>
              <w:rPr>
                <w:rFonts w:ascii="Calibri" w:hAnsi="Calibri"/>
                <w:b w:val="0"/>
                <w:sz w:val="19"/>
              </w:rPr>
              <w:t>2026 parziale</w:t>
            </w:r>
          </w:p>
        </w:tc>
        <w:tc>
          <w:tcPr>
            <w:tcW w:type="dxa" w:w="1008"/>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3.058</w:t>
            </w:r>
          </w:p>
        </w:tc>
        <w:tc>
          <w:tcPr>
            <w:tcW w:type="dxa" w:w="1584"/>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73,77%</w:t>
            </w:r>
          </w:p>
        </w:tc>
        <w:tc>
          <w:tcPr>
            <w:tcW w:type="dxa" w:w="1872"/>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1.448</w:t>
            </w:r>
          </w:p>
        </w:tc>
        <w:tc>
          <w:tcPr>
            <w:tcW w:type="dxa" w:w="1440"/>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47,35%</w:t>
            </w:r>
          </w:p>
        </w:tc>
        <w:tc>
          <w:tcPr>
            <w:tcW w:type="dxa" w:w="1872"/>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84,12%</w:t>
            </w:r>
          </w:p>
        </w:tc>
      </w:tr>
    </w:tbl>
    <w:p>
      <w:pPr>
        <w:spacing w:after="60"/>
      </w:pPr>
    </w:p>
    <w:p>
      <w:pPr>
        <w:pStyle w:val="Normal"/>
      </w:pPr>
      <w:r>
        <w:rPr>
          <w:b w:val="0"/>
        </w:rPr>
        <w:t>Alta confidenza significa probabilità di espansione almeno 70% oppure al massimo 30%. La precisione delle sole espansioni è 88,53% nel 2025 e 79,79% nel 2026; quella delle contrazioni è 88,85% e 88,86%. L’88% non riguarda tutte le barre. La selezione riduce copertura e, nel 2026, la precisione espansiva peggiora. [S2]</w:t>
      </w:r>
    </w:p>
    <w:p>
      <w:pPr>
        <w:pStyle w:val="Normal"/>
        <w:keepNext/>
      </w:pPr>
      <w:r>
        <w:rPr>
          <w:b w:val="0"/>
        </w:rPr>
        <w:t>Figura 1   Accuratezza selettiva e copertura del classificatore VXN</w:t>
      </w:r>
    </w:p>
    <w:p>
      <w:r>
        <w:drawing>
          <wp:inline xmlns:a="http://schemas.openxmlformats.org/drawingml/2006/main" xmlns:pic="http://schemas.openxmlformats.org/drawingml/2006/picture">
            <wp:extent cx="5943600" cy="2377440"/>
            <wp:docPr id="1" name="Picture 1" descr="Accuratezza selettiva e copertura del classificatore VXN"/>
            <wp:cNvGraphicFramePr>
              <a:graphicFrameLocks noChangeAspect="1"/>
            </wp:cNvGraphicFramePr>
            <a:graphic>
              <a:graphicData uri="http://schemas.openxmlformats.org/drawingml/2006/picture">
                <pic:pic>
                  <pic:nvPicPr>
                    <pic:cNvPr id="0" name="confidence_coverage.png"/>
                    <pic:cNvPicPr/>
                  </pic:nvPicPr>
                  <pic:blipFill>
                    <a:blip r:embed="rId22"/>
                    <a:stretch>
                      <a:fillRect/>
                    </a:stretch>
                  </pic:blipFill>
                  <pic:spPr>
                    <a:xfrm>
                      <a:off x="0" y="0"/>
                      <a:ext cx="5943600" cy="2377440"/>
                    </a:xfrm>
                    <a:prstGeom prst="rect"/>
                  </pic:spPr>
                </pic:pic>
              </a:graphicData>
            </a:graphic>
          </wp:inline>
        </w:drawing>
      </w:r>
    </w:p>
    <w:p>
      <w:pPr>
        <w:pStyle w:val="Heading1"/>
      </w:pPr>
      <w:r>
        <w:t>8 Accuratezza del range numerico</w:t>
      </w:r>
    </w:p>
    <w:p>
      <w:pPr>
        <w:pStyle w:val="Normal"/>
      </w:pPr>
      <w:r>
        <w:rPr>
          <w:b w:val="0"/>
        </w:rPr>
        <w:t>L’errore assoluto mediano è 16,89 punti nel 2025 e 20,37 nel 2026, non la media degli errori assoluti. L’errore firmato mediano è rispettivamente meno 2,21 e meno 5,97 punti. Il range effettivo supera o non supera una soglia: questa classificazione può essere accurata anche quando il numero di punti previsto non è preciso. [S2]</w:t>
      </w:r>
    </w:p>
    <w:p>
      <w:pPr>
        <w:pStyle w:val="Normal"/>
      </w:pPr>
      <w:r>
        <w:rPr>
          <w:b w:val="0"/>
        </w:rPr>
        <w:t>Il forecast storico converte la percentuale in punti utilizzando l’apertura della barra target. Se il segnale viene emesso prima di tale apertura, un livello di ordine deve utilizzare un prezzo già noto, come la chiusura precedente. Il motore VXN nativo usa questa ancora nota. Forecast percentuale, previsione in punti e bande centrate sul prezzo non devono essere presentati come il medesimo oggetto.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1728"/>
        <w:gridCol w:w="1728"/>
        <w:gridCol w:w="1872"/>
        <w:gridCol w:w="1296"/>
        <w:gridCol w:w="1296"/>
      </w:tblGrid>
      <w:tr>
        <w:trPr>
          <w:cantSplit/>
          <w:tblHeader/>
        </w:trPr>
        <w:tc>
          <w:tcPr>
            <w:tcW w:type="dxa" w:w="1440"/>
            <w:vAlign w:val="center"/>
            <w:shd w:fill="DDEAF2"/>
            <w:tcMar>
              <w:top w:w="85" w:type="dxa"/>
              <w:left w:w="85" w:type="dxa"/>
              <w:bottom w:w="85" w:type="dxa"/>
              <w:right w:w="85" w:type="dxa"/>
            </w:tcMar>
          </w:tcPr>
          <w:p>
            <w:pPr>
              <w:spacing w:after="60" w:before="60" w:line="240" w:lineRule="auto"/>
              <w:jc w:val="left"/>
            </w:pPr>
            <w:r>
              <w:rPr>
                <w:rFonts w:ascii="Calibri" w:hAnsi="Calibri"/>
                <w:b/>
                <w:sz w:val="19"/>
              </w:rPr>
              <w:t>Anno</w:t>
            </w:r>
          </w:p>
        </w:tc>
        <w:tc>
          <w:tcPr>
            <w:tcW w:type="dxa" w:w="1728"/>
            <w:vAlign w:val="center"/>
            <w:shd w:fill="DDEAF2"/>
            <w:tcMar>
              <w:top w:w="85" w:type="dxa"/>
              <w:left w:w="85" w:type="dxa"/>
              <w:bottom w:w="85" w:type="dxa"/>
              <w:right w:w="85" w:type="dxa"/>
            </w:tcMar>
          </w:tcPr>
          <w:p>
            <w:pPr>
              <w:spacing w:after="60" w:before="60" w:line="240" w:lineRule="auto"/>
              <w:jc w:val="center"/>
            </w:pPr>
            <w:r>
              <w:rPr>
                <w:rFonts w:ascii="Calibri" w:hAnsi="Calibri"/>
                <w:b/>
                <w:sz w:val="19"/>
              </w:rPr>
              <w:t>Range previsto mediano</w:t>
            </w:r>
          </w:p>
        </w:tc>
        <w:tc>
          <w:tcPr>
            <w:tcW w:type="dxa" w:w="1728"/>
            <w:vAlign w:val="center"/>
            <w:shd w:fill="DDEAF2"/>
            <w:tcMar>
              <w:top w:w="85" w:type="dxa"/>
              <w:left w:w="85" w:type="dxa"/>
              <w:bottom w:w="85" w:type="dxa"/>
              <w:right w:w="85" w:type="dxa"/>
            </w:tcMar>
          </w:tcPr>
          <w:p>
            <w:pPr>
              <w:spacing w:after="60" w:before="60" w:line="240" w:lineRule="auto"/>
              <w:jc w:val="center"/>
            </w:pPr>
            <w:r>
              <w:rPr>
                <w:rFonts w:ascii="Calibri" w:hAnsi="Calibri"/>
                <w:b/>
                <w:sz w:val="19"/>
              </w:rPr>
              <w:t>Range reale mediano</w:t>
            </w:r>
          </w:p>
        </w:tc>
        <w:tc>
          <w:tcPr>
            <w:tcW w:type="dxa" w:w="1872"/>
            <w:vAlign w:val="center"/>
            <w:shd w:fill="DDEAF2"/>
            <w:tcMar>
              <w:top w:w="85" w:type="dxa"/>
              <w:left w:w="85" w:type="dxa"/>
              <w:bottom w:w="85" w:type="dxa"/>
              <w:right w:w="85" w:type="dxa"/>
            </w:tcMar>
          </w:tcPr>
          <w:p>
            <w:pPr>
              <w:spacing w:after="60" w:before="60" w:line="240" w:lineRule="auto"/>
              <w:jc w:val="center"/>
            </w:pPr>
            <w:r>
              <w:rPr>
                <w:rFonts w:ascii="Calibri" w:hAnsi="Calibri"/>
                <w:b/>
                <w:sz w:val="19"/>
              </w:rPr>
              <w:t>Errore assoluto mediano</w:t>
            </w:r>
          </w:p>
        </w:tc>
        <w:tc>
          <w:tcPr>
            <w:tcW w:type="dxa" w:w="1296"/>
            <w:vAlign w:val="center"/>
            <w:shd w:fill="DDEAF2"/>
            <w:tcMar>
              <w:top w:w="85" w:type="dxa"/>
              <w:left w:w="85" w:type="dxa"/>
              <w:bottom w:w="85" w:type="dxa"/>
              <w:right w:w="85" w:type="dxa"/>
            </w:tcMar>
          </w:tcPr>
          <w:p>
            <w:pPr>
              <w:spacing w:after="60" w:before="60" w:line="240" w:lineRule="auto"/>
              <w:jc w:val="center"/>
            </w:pPr>
            <w:r>
              <w:rPr>
                <w:rFonts w:ascii="Calibri" w:hAnsi="Calibri"/>
                <w:b/>
                <w:sz w:val="19"/>
              </w:rPr>
              <w:t>Entro 25%</w:t>
            </w:r>
          </w:p>
        </w:tc>
        <w:tc>
          <w:tcPr>
            <w:tcW w:type="dxa" w:w="1296"/>
            <w:vAlign w:val="center"/>
            <w:shd w:fill="DDEAF2"/>
            <w:tcMar>
              <w:top w:w="85" w:type="dxa"/>
              <w:left w:w="85" w:type="dxa"/>
              <w:bottom w:w="85" w:type="dxa"/>
              <w:right w:w="85" w:type="dxa"/>
            </w:tcMar>
          </w:tcPr>
          <w:p>
            <w:pPr>
              <w:spacing w:after="60" w:before="60" w:line="240" w:lineRule="auto"/>
              <w:jc w:val="center"/>
            </w:pPr>
            <w:r>
              <w:rPr>
                <w:rFonts w:ascii="Calibri" w:hAnsi="Calibri"/>
                <w:b/>
                <w:sz w:val="19"/>
              </w:rPr>
              <w:t>Entro 50%</w:t>
            </w:r>
          </w:p>
        </w:tc>
      </w:tr>
      <w:tr>
        <w:trPr>
          <w:cantSplit/>
        </w:trPr>
        <w:tc>
          <w:tcPr>
            <w:tcW w:type="dxa" w:w="1440"/>
            <w:vAlign w:val="center"/>
            <w:shd w:fill="FFFFFF"/>
            <w:tcMar>
              <w:top w:w="85" w:type="dxa"/>
              <w:left w:w="85" w:type="dxa"/>
              <w:bottom w:w="85" w:type="dxa"/>
              <w:right w:w="85" w:type="dxa"/>
            </w:tcMar>
          </w:tcPr>
          <w:p>
            <w:pPr>
              <w:spacing w:after="60" w:before="60" w:line="240" w:lineRule="auto"/>
              <w:jc w:val="left"/>
            </w:pPr>
            <w:r>
              <w:rPr>
                <w:rFonts w:ascii="Calibri" w:hAnsi="Calibri"/>
                <w:b w:val="0"/>
                <w:sz w:val="19"/>
              </w:rPr>
              <w:t>2025</w:t>
            </w:r>
          </w:p>
        </w:tc>
        <w:tc>
          <w:tcPr>
            <w:tcW w:type="dxa" w:w="1728"/>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46,31 pt</w:t>
            </w:r>
          </w:p>
        </w:tc>
        <w:tc>
          <w:tcPr>
            <w:tcW w:type="dxa" w:w="1728"/>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46,25 pt</w:t>
            </w:r>
          </w:p>
        </w:tc>
        <w:tc>
          <w:tcPr>
            <w:tcW w:type="dxa" w:w="1872"/>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16,89 pt</w:t>
            </w:r>
          </w:p>
        </w:tc>
        <w:tc>
          <w:tcPr>
            <w:tcW w:type="dxa" w:w="1296"/>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34,37%</w:t>
            </w:r>
          </w:p>
        </w:tc>
        <w:tc>
          <w:tcPr>
            <w:tcW w:type="dxa" w:w="1296"/>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67,94%</w:t>
            </w:r>
          </w:p>
        </w:tc>
      </w:tr>
      <w:tr>
        <w:trPr>
          <w:cantSplit/>
        </w:trPr>
        <w:tc>
          <w:tcPr>
            <w:tcW w:type="dxa" w:w="1440"/>
            <w:vAlign w:val="center"/>
            <w:shd w:fill="F6F8FA"/>
            <w:tcMar>
              <w:top w:w="85" w:type="dxa"/>
              <w:left w:w="85" w:type="dxa"/>
              <w:bottom w:w="85" w:type="dxa"/>
              <w:right w:w="85" w:type="dxa"/>
            </w:tcMar>
          </w:tcPr>
          <w:p>
            <w:pPr>
              <w:spacing w:after="60" w:before="60" w:line="240" w:lineRule="auto"/>
              <w:jc w:val="left"/>
            </w:pPr>
            <w:r>
              <w:rPr>
                <w:rFonts w:ascii="Calibri" w:hAnsi="Calibri"/>
                <w:b w:val="0"/>
                <w:sz w:val="19"/>
              </w:rPr>
              <w:t>2026 parziale</w:t>
            </w:r>
          </w:p>
        </w:tc>
        <w:tc>
          <w:tcPr>
            <w:tcW w:type="dxa" w:w="1728"/>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64,70 pt</w:t>
            </w:r>
          </w:p>
        </w:tc>
        <w:tc>
          <w:tcPr>
            <w:tcW w:type="dxa" w:w="1728"/>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60,75 pt</w:t>
            </w:r>
          </w:p>
        </w:tc>
        <w:tc>
          <w:tcPr>
            <w:tcW w:type="dxa" w:w="1872"/>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20,37 pt</w:t>
            </w:r>
          </w:p>
        </w:tc>
        <w:tc>
          <w:tcPr>
            <w:tcW w:type="dxa" w:w="1296"/>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40,48%</w:t>
            </w:r>
          </w:p>
        </w:tc>
        <w:tc>
          <w:tcPr>
            <w:tcW w:type="dxa" w:w="1296"/>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76,59%</w:t>
            </w:r>
          </w:p>
        </w:tc>
      </w:tr>
    </w:tbl>
    <w:p>
      <w:pPr>
        <w:spacing w:after="60"/>
      </w:pPr>
    </w:p>
    <w:p>
      <w:pPr>
        <w:pStyle w:val="Heading1"/>
      </w:pPr>
      <w:r>
        <w:t>9 VXN reversal MNQ</w:t>
      </w:r>
    </w:p>
    <w:p>
      <w:pPr>
        <w:pStyle w:val="Normal"/>
      </w:pPr>
      <w:r>
        <w:rPr>
          <w:b w:val="0"/>
        </w:rPr>
        <w:t>La strategia di trading impiega barre di 5 minuti ed è distinta dalla regressione a 15 minuti. Dopo la chiusura della barra viene stimata la contrazione della successiva. Si richiede probabilità contrattiva almeno 70%, cioè probabilità espansiva non superiore a 30%. La banda superiore è la chiusura nota più la distanza prevista per la prossima fascia.</w:t>
      </w:r>
    </w:p>
    <w:p>
      <w:pPr>
        <w:pStyle w:val="Normal"/>
      </w:pPr>
      <w:r>
        <w:rPr>
          <w:b w:val="0"/>
        </w:rPr>
        <w:t>Si considera il primo tocco superiore della barra target. Il modello attende 60 secondi e richiede decelerazione: il movimento della seconda metà del minuto deve essere inferiore a quello della prima. L’ingresso è short; non viene aggiunto un long simmetrico. L’uscita è TP o SL, entro il minimo tra un’ora dall’ingresso e il limite della sessione. [S4 S7]</w:t>
      </w:r>
    </w:p>
    <w:p>
      <w:pPr>
        <w:pStyle w:val="Normal"/>
      </w:pPr>
      <w:r>
        <w:rPr>
          <w:b w:val="0"/>
        </w:rPr>
        <w:t>Le uscite walk forward sono scelte su una griglia TP da 10 a 20 e SL da 10 a 30, passo 2. La selezione preferisce il quartile inferiore della redditività media del vicinato 3 per 3, invece del massimo isolato. La storia di training precede il fold test. Nel portafoglio risultano 60 righe, WR 71,67%, PF 1,481 e PnL di 3.467 USD; la size cambia e non coincide con il risultato a un MNQ.</w:t>
      </w:r>
    </w:p>
    <w:p>
      <w:pPr>
        <w:pStyle w:val="Normal"/>
        <w:keepNext/>
      </w:pPr>
      <w:r>
        <w:rPr>
          <w:b w:val="0"/>
        </w:rPr>
        <w:t>Figura 2   VXN reversal a size di portafoglio dal luglio 2025</w:t>
      </w:r>
    </w:p>
    <w:p>
      <w:r>
        <w:drawing>
          <wp:inline xmlns:a="http://schemas.openxmlformats.org/drawingml/2006/main" xmlns:pic="http://schemas.openxmlformats.org/drawingml/2006/picture">
            <wp:extent cx="5943600" cy="2759529"/>
            <wp:docPr id="2" name="Picture 2" descr="VXN reversal a size di portafoglio dal luglio 2025"/>
            <wp:cNvGraphicFramePr>
              <a:graphicFrameLocks noChangeAspect="1"/>
            </wp:cNvGraphicFramePr>
            <a:graphic>
              <a:graphicData uri="http://schemas.openxmlformats.org/drawingml/2006/picture">
                <pic:pic>
                  <pic:nvPicPr>
                    <pic:cNvPr id="0" name="VXN_reversal_MNQ.png"/>
                    <pic:cNvPicPr/>
                  </pic:nvPicPr>
                  <pic:blipFill>
                    <a:blip r:embed="rId23"/>
                    <a:stretch>
                      <a:fillRect/>
                    </a:stretch>
                  </pic:blipFill>
                  <pic:spPr>
                    <a:xfrm>
                      <a:off x="0" y="0"/>
                      <a:ext cx="5943600" cy="2759529"/>
                    </a:xfrm>
                    <a:prstGeom prst="rect"/>
                  </pic:spPr>
                </pic:pic>
              </a:graphicData>
            </a:graphic>
          </wp:inline>
        </w:drawing>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1728"/>
        <w:gridCol w:w="1008"/>
        <w:gridCol w:w="1584"/>
        <w:gridCol w:w="2736"/>
      </w:tblGrid>
      <w:tr>
        <w:trPr>
          <w:cantSplit/>
          <w:tblHeader/>
        </w:trPr>
        <w:tc>
          <w:tcPr>
            <w:tcW w:type="dxa" w:w="2304"/>
            <w:vAlign w:val="center"/>
            <w:shd w:fill="DDEAF2"/>
            <w:tcMar>
              <w:top w:w="85" w:type="dxa"/>
              <w:left w:w="85" w:type="dxa"/>
              <w:bottom w:w="85" w:type="dxa"/>
              <w:right w:w="85" w:type="dxa"/>
            </w:tcMar>
          </w:tcPr>
          <w:p>
            <w:pPr>
              <w:spacing w:after="60" w:before="60" w:line="240" w:lineRule="auto"/>
              <w:jc w:val="left"/>
            </w:pPr>
            <w:r>
              <w:rPr>
                <w:rFonts w:ascii="Calibri" w:hAnsi="Calibri"/>
                <w:b/>
                <w:sz w:val="19"/>
              </w:rPr>
              <w:t>Fold</w:t>
            </w:r>
          </w:p>
        </w:tc>
        <w:tc>
          <w:tcPr>
            <w:tcW w:type="dxa" w:w="1728"/>
            <w:vAlign w:val="center"/>
            <w:shd w:fill="DDEAF2"/>
            <w:tcMar>
              <w:top w:w="85" w:type="dxa"/>
              <w:left w:w="85" w:type="dxa"/>
              <w:bottom w:w="85" w:type="dxa"/>
              <w:right w:w="85" w:type="dxa"/>
            </w:tcMar>
          </w:tcPr>
          <w:p>
            <w:pPr>
              <w:spacing w:after="60" w:before="60" w:line="240" w:lineRule="auto"/>
              <w:jc w:val="center"/>
            </w:pPr>
            <w:r>
              <w:rPr>
                <w:rFonts w:ascii="Calibri" w:hAnsi="Calibri"/>
                <w:b/>
                <w:sz w:val="19"/>
              </w:rPr>
              <w:t>TP SL punti</w:t>
            </w:r>
          </w:p>
        </w:tc>
        <w:tc>
          <w:tcPr>
            <w:tcW w:type="dxa" w:w="1008"/>
            <w:vAlign w:val="center"/>
            <w:shd w:fill="DDEAF2"/>
            <w:tcMar>
              <w:top w:w="85" w:type="dxa"/>
              <w:left w:w="85" w:type="dxa"/>
              <w:bottom w:w="85" w:type="dxa"/>
              <w:right w:w="85" w:type="dxa"/>
            </w:tcMar>
          </w:tcPr>
          <w:p>
            <w:pPr>
              <w:spacing w:after="60" w:before="60" w:line="240" w:lineRule="auto"/>
              <w:jc w:val="center"/>
            </w:pPr>
            <w:r>
              <w:rPr>
                <w:rFonts w:ascii="Calibri" w:hAnsi="Calibri"/>
                <w:b/>
                <w:sz w:val="19"/>
              </w:rPr>
              <w:t>Trade</w:t>
            </w:r>
          </w:p>
        </w:tc>
        <w:tc>
          <w:tcPr>
            <w:tcW w:type="dxa" w:w="1584"/>
            <w:vAlign w:val="center"/>
            <w:shd w:fill="DDEAF2"/>
            <w:tcMar>
              <w:top w:w="85" w:type="dxa"/>
              <w:left w:w="85" w:type="dxa"/>
              <w:bottom w:w="85" w:type="dxa"/>
              <w:right w:w="85" w:type="dxa"/>
            </w:tcMar>
          </w:tcPr>
          <w:p>
            <w:pPr>
              <w:spacing w:after="60" w:before="60" w:line="240" w:lineRule="auto"/>
              <w:jc w:val="center"/>
            </w:pPr>
            <w:r>
              <w:rPr>
                <w:rFonts w:ascii="Calibri" w:hAnsi="Calibri"/>
                <w:b/>
                <w:sz w:val="19"/>
              </w:rPr>
              <w:t>WR</w:t>
            </w:r>
          </w:p>
        </w:tc>
        <w:tc>
          <w:tcPr>
            <w:tcW w:type="dxa" w:w="2736"/>
            <w:vAlign w:val="center"/>
            <w:shd w:fill="DDEAF2"/>
            <w:tcMar>
              <w:top w:w="85" w:type="dxa"/>
              <w:left w:w="85" w:type="dxa"/>
              <w:bottom w:w="85" w:type="dxa"/>
              <w:right w:w="85" w:type="dxa"/>
            </w:tcMar>
          </w:tcPr>
          <w:p>
            <w:pPr>
              <w:spacing w:after="60" w:before="60" w:line="240" w:lineRule="auto"/>
              <w:jc w:val="center"/>
            </w:pPr>
            <w:r>
              <w:rPr>
                <w:rFonts w:ascii="Calibri" w:hAnsi="Calibri"/>
                <w:b/>
                <w:sz w:val="19"/>
              </w:rPr>
              <w:t>Netto a un MNQ</w:t>
            </w:r>
          </w:p>
        </w:tc>
      </w:tr>
      <w:tr>
        <w:trPr>
          <w:cantSplit/>
        </w:trPr>
        <w:tc>
          <w:tcPr>
            <w:tcW w:type="dxa" w:w="2304"/>
            <w:vAlign w:val="center"/>
            <w:shd w:fill="FFFFFF"/>
            <w:tcMar>
              <w:top w:w="85" w:type="dxa"/>
              <w:left w:w="85" w:type="dxa"/>
              <w:bottom w:w="85" w:type="dxa"/>
              <w:right w:w="85" w:type="dxa"/>
            </w:tcMar>
          </w:tcPr>
          <w:p>
            <w:pPr>
              <w:spacing w:after="60" w:before="60" w:line="240" w:lineRule="auto"/>
              <w:jc w:val="left"/>
            </w:pPr>
            <w:r>
              <w:rPr>
                <w:rFonts w:ascii="Calibri" w:hAnsi="Calibri"/>
                <w:b w:val="0"/>
                <w:sz w:val="19"/>
              </w:rPr>
              <w:t>2025 Q3</w:t>
            </w:r>
          </w:p>
        </w:tc>
        <w:tc>
          <w:tcPr>
            <w:tcW w:type="dxa" w:w="1728"/>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12 / 18</w:t>
            </w:r>
          </w:p>
        </w:tc>
        <w:tc>
          <w:tcPr>
            <w:tcW w:type="dxa" w:w="1008"/>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17</w:t>
            </w:r>
          </w:p>
        </w:tc>
        <w:tc>
          <w:tcPr>
            <w:tcW w:type="dxa" w:w="1584"/>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64,71%</w:t>
            </w:r>
          </w:p>
        </w:tc>
        <w:tc>
          <w:tcPr>
            <w:tcW w:type="dxa" w:w="2736"/>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59,00</w:t>
            </w:r>
          </w:p>
        </w:tc>
      </w:tr>
      <w:tr>
        <w:trPr>
          <w:cantSplit/>
        </w:trPr>
        <w:tc>
          <w:tcPr>
            <w:tcW w:type="dxa" w:w="2304"/>
            <w:vAlign w:val="center"/>
            <w:shd w:fill="F6F8FA"/>
            <w:tcMar>
              <w:top w:w="85" w:type="dxa"/>
              <w:left w:w="85" w:type="dxa"/>
              <w:bottom w:w="85" w:type="dxa"/>
              <w:right w:w="85" w:type="dxa"/>
            </w:tcMar>
          </w:tcPr>
          <w:p>
            <w:pPr>
              <w:spacing w:after="60" w:before="60" w:line="240" w:lineRule="auto"/>
              <w:jc w:val="left"/>
            </w:pPr>
            <w:r>
              <w:rPr>
                <w:rFonts w:ascii="Calibri" w:hAnsi="Calibri"/>
                <w:b w:val="0"/>
                <w:sz w:val="19"/>
              </w:rPr>
              <w:t>2025 Q4</w:t>
            </w:r>
          </w:p>
        </w:tc>
        <w:tc>
          <w:tcPr>
            <w:tcW w:type="dxa" w:w="1728"/>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12 / 26</w:t>
            </w:r>
          </w:p>
        </w:tc>
        <w:tc>
          <w:tcPr>
            <w:tcW w:type="dxa" w:w="1008"/>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11</w:t>
            </w:r>
          </w:p>
        </w:tc>
        <w:tc>
          <w:tcPr>
            <w:tcW w:type="dxa" w:w="1584"/>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63,64%</w:t>
            </w:r>
          </w:p>
        </w:tc>
        <w:tc>
          <w:tcPr>
            <w:tcW w:type="dxa" w:w="2736"/>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12,00</w:t>
            </w:r>
          </w:p>
        </w:tc>
      </w:tr>
      <w:tr>
        <w:trPr>
          <w:cantSplit/>
        </w:trPr>
        <w:tc>
          <w:tcPr>
            <w:tcW w:type="dxa" w:w="2304"/>
            <w:vAlign w:val="center"/>
            <w:shd w:fill="FFFFFF"/>
            <w:tcMar>
              <w:top w:w="85" w:type="dxa"/>
              <w:left w:w="85" w:type="dxa"/>
              <w:bottom w:w="85" w:type="dxa"/>
              <w:right w:w="85" w:type="dxa"/>
            </w:tcMar>
          </w:tcPr>
          <w:p>
            <w:pPr>
              <w:spacing w:after="60" w:before="60" w:line="240" w:lineRule="auto"/>
              <w:jc w:val="left"/>
            </w:pPr>
            <w:r>
              <w:rPr>
                <w:rFonts w:ascii="Calibri" w:hAnsi="Calibri"/>
                <w:b w:val="0"/>
                <w:sz w:val="19"/>
              </w:rPr>
              <w:t>2026 Q1</w:t>
            </w:r>
          </w:p>
        </w:tc>
        <w:tc>
          <w:tcPr>
            <w:tcW w:type="dxa" w:w="1728"/>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12 / 26</w:t>
            </w:r>
          </w:p>
        </w:tc>
        <w:tc>
          <w:tcPr>
            <w:tcW w:type="dxa" w:w="1008"/>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12</w:t>
            </w:r>
          </w:p>
        </w:tc>
        <w:tc>
          <w:tcPr>
            <w:tcW w:type="dxa" w:w="1584"/>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66,67%</w:t>
            </w:r>
          </w:p>
        </w:tc>
        <w:tc>
          <w:tcPr>
            <w:tcW w:type="dxa" w:w="2736"/>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-28,00</w:t>
            </w:r>
          </w:p>
        </w:tc>
      </w:tr>
      <w:tr>
        <w:trPr>
          <w:cantSplit/>
        </w:trPr>
        <w:tc>
          <w:tcPr>
            <w:tcW w:type="dxa" w:w="2304"/>
            <w:vAlign w:val="center"/>
            <w:shd w:fill="F6F8FA"/>
            <w:tcMar>
              <w:top w:w="85" w:type="dxa"/>
              <w:left w:w="85" w:type="dxa"/>
              <w:bottom w:w="85" w:type="dxa"/>
              <w:right w:w="85" w:type="dxa"/>
            </w:tcMar>
          </w:tcPr>
          <w:p>
            <w:pPr>
              <w:spacing w:after="60" w:before="60" w:line="240" w:lineRule="auto"/>
              <w:jc w:val="left"/>
            </w:pPr>
            <w:r>
              <w:rPr>
                <w:rFonts w:ascii="Calibri" w:hAnsi="Calibri"/>
                <w:b w:val="0"/>
                <w:sz w:val="19"/>
              </w:rPr>
              <w:t>2026 Q2</w:t>
            </w:r>
          </w:p>
        </w:tc>
        <w:tc>
          <w:tcPr>
            <w:tcW w:type="dxa" w:w="1728"/>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18 / 26</w:t>
            </w:r>
          </w:p>
        </w:tc>
        <w:tc>
          <w:tcPr>
            <w:tcW w:type="dxa" w:w="1008"/>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9</w:t>
            </w:r>
          </w:p>
        </w:tc>
        <w:tc>
          <w:tcPr>
            <w:tcW w:type="dxa" w:w="1584"/>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77,78%</w:t>
            </w:r>
          </w:p>
        </w:tc>
        <w:tc>
          <w:tcPr>
            <w:tcW w:type="dxa" w:w="2736"/>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139,00</w:t>
            </w:r>
          </w:p>
        </w:tc>
      </w:tr>
      <w:tr>
        <w:trPr>
          <w:cantSplit/>
        </w:trPr>
        <w:tc>
          <w:tcPr>
            <w:tcW w:type="dxa" w:w="2304"/>
            <w:vAlign w:val="center"/>
            <w:shd w:fill="FFFFFF"/>
            <w:tcMar>
              <w:top w:w="85" w:type="dxa"/>
              <w:left w:w="85" w:type="dxa"/>
              <w:bottom w:w="85" w:type="dxa"/>
              <w:right w:w="85" w:type="dxa"/>
            </w:tcMar>
          </w:tcPr>
          <w:p>
            <w:pPr>
              <w:spacing w:after="60" w:before="60" w:line="240" w:lineRule="auto"/>
              <w:jc w:val="left"/>
            </w:pPr>
            <w:r>
              <w:rPr>
                <w:rFonts w:ascii="Calibri" w:hAnsi="Calibri"/>
                <w:b w:val="0"/>
                <w:sz w:val="19"/>
              </w:rPr>
              <w:t>2026 Jul-Aug</w:t>
            </w:r>
          </w:p>
        </w:tc>
        <w:tc>
          <w:tcPr>
            <w:tcW w:type="dxa" w:w="1728"/>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12 / 26</w:t>
            </w:r>
          </w:p>
        </w:tc>
        <w:tc>
          <w:tcPr>
            <w:tcW w:type="dxa" w:w="1008"/>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11</w:t>
            </w:r>
          </w:p>
        </w:tc>
        <w:tc>
          <w:tcPr>
            <w:tcW w:type="dxa" w:w="1584"/>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90,91%</w:t>
            </w:r>
          </w:p>
        </w:tc>
        <w:tc>
          <w:tcPr>
            <w:tcW w:type="dxa" w:w="2736"/>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177,00</w:t>
            </w:r>
          </w:p>
        </w:tc>
      </w:tr>
    </w:tbl>
    <w:p>
      <w:pPr>
        <w:spacing w:after="60"/>
      </w:pPr>
    </w:p>
    <w:p>
      <w:pPr>
        <w:pStyle w:val="Normal"/>
      </w:pPr>
      <w:r>
        <w:rPr>
          <w:b w:val="0"/>
        </w:rPr>
        <w:t>La versione walk forward a un MNQ produce 179,5 punti netti, cioè 359 USD, con PF 1,503. Nel bootstrap originale da 20.000 iterazioni e blocchi di cinque trade, il CI 95% dell’expectancy è da meno 0,429 a più 6,40 punti e quello del PF da 0,946 a 2,678. Entrambi includono la soglia di non redditività. Il campione ridotto non sostiene una conclusione definitiva. [S4]</w:t>
      </w:r>
    </w:p>
    <w:p>
      <w:pPr>
        <w:pStyle w:val="Heading1"/>
      </w:pPr>
      <w:r>
        <w:t>10 Impulso MNQ con uscite adattive</w:t>
      </w:r>
    </w:p>
    <w:p>
      <w:pPr>
        <w:pStyle w:val="Normal"/>
      </w:pPr>
      <w:r>
        <w:rPr>
          <w:b w:val="0"/>
        </w:rPr>
        <w:t>Il segnale usa barre tick range non sovrapposte, high meno low di almeno 40 punti e corpo assoluto almeno 75% del range. Si entra nella direzione del corpo, dalle 15:30 alle 22:00 Europe/Rome. ADX14 della precedente barra completa di un minuto deve essere almeno 30 e inferiore a 35; il range di seduta già noto deve trovarsi tra 239 e 407 punti. Questa definizione non è un semplice movimento di 40 punti in due minuti. [S5]</w:t>
      </w:r>
    </w:p>
    <w:p>
      <w:pPr>
        <w:pStyle w:val="Normal"/>
      </w:pPr>
      <w:r>
        <w:rPr>
          <w:b w:val="0"/>
        </w:rPr>
        <w:t>I regimi LOW, NORMAL e HIGH dipendono dai terzili ATR14 dei segnali eleggibili nei precedenti 90 giorni, con almeno 20 osservazioni. In assenza della storia minima si usa NORMAL. Per ogni coppia TP SL, lo score è media dei punti netti meno metà dell’errore standard. Occorrono almeno otto setup storici eseguiti nello stesso regime; l’esito candidato deve essere già chiuso prima della decisione. Fallback TP10 SL30. Una posizione alla volta: cambiando uscita cambia anche la disponibilità delle entrate successive.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7920"/>
      </w:tblGrid>
      <w:tr>
        <w:trPr>
          <w:cantSplit/>
          <w:tblHeader/>
        </w:trPr>
        <w:tc>
          <w:tcPr>
            <w:tcW w:type="dxa" w:w="1440"/>
            <w:vAlign w:val="center"/>
            <w:shd w:fill="DDEAF2"/>
            <w:tcMar>
              <w:top w:w="85" w:type="dxa"/>
              <w:left w:w="85" w:type="dxa"/>
              <w:bottom w:w="85" w:type="dxa"/>
              <w:right w:w="85" w:type="dxa"/>
            </w:tcMar>
          </w:tcPr>
          <w:p>
            <w:pPr>
              <w:spacing w:after="60" w:before="60" w:line="240" w:lineRule="auto"/>
              <w:jc w:val="left"/>
            </w:pPr>
            <w:r>
              <w:rPr>
                <w:rFonts w:ascii="Calibri" w:hAnsi="Calibri"/>
                <w:b/>
                <w:sz w:val="19"/>
              </w:rPr>
              <w:t>Regime</w:t>
            </w:r>
          </w:p>
        </w:tc>
        <w:tc>
          <w:tcPr>
            <w:tcW w:type="dxa" w:w="7920"/>
            <w:vAlign w:val="center"/>
            <w:shd w:fill="DDEAF2"/>
            <w:tcMar>
              <w:top w:w="85" w:type="dxa"/>
              <w:left w:w="85" w:type="dxa"/>
              <w:bottom w:w="85" w:type="dxa"/>
              <w:right w:w="85" w:type="dxa"/>
            </w:tcMar>
          </w:tcPr>
          <w:p>
            <w:pPr>
              <w:spacing w:after="60" w:before="60" w:line="240" w:lineRule="auto"/>
              <w:jc w:val="center"/>
            </w:pPr>
            <w:r>
              <w:rPr>
                <w:rFonts w:ascii="Calibri" w:hAnsi="Calibri"/>
                <w:b/>
                <w:sz w:val="19"/>
              </w:rPr>
              <w:t>Coppie TP SL in punti</w:t>
            </w:r>
          </w:p>
        </w:tc>
      </w:tr>
      <w:tr>
        <w:trPr>
          <w:cantSplit/>
        </w:trPr>
        <w:tc>
          <w:tcPr>
            <w:tcW w:type="dxa" w:w="1440"/>
            <w:vAlign w:val="center"/>
            <w:shd w:fill="FFFFFF"/>
            <w:tcMar>
              <w:top w:w="85" w:type="dxa"/>
              <w:left w:w="85" w:type="dxa"/>
              <w:bottom w:w="85" w:type="dxa"/>
              <w:right w:w="85" w:type="dxa"/>
            </w:tcMar>
          </w:tcPr>
          <w:p>
            <w:pPr>
              <w:spacing w:after="60" w:before="60" w:line="240" w:lineRule="auto"/>
              <w:jc w:val="left"/>
            </w:pPr>
            <w:r>
              <w:rPr>
                <w:rFonts w:ascii="Calibri" w:hAnsi="Calibri"/>
                <w:b w:val="0"/>
                <w:sz w:val="19"/>
              </w:rPr>
              <w:t>LOW</w:t>
            </w:r>
          </w:p>
        </w:tc>
        <w:tc>
          <w:tcPr>
            <w:tcW w:type="dxa" w:w="7920"/>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5/15  10/15  10/20  10/30  15/20  15/30</w:t>
            </w:r>
          </w:p>
        </w:tc>
      </w:tr>
      <w:tr>
        <w:trPr>
          <w:cantSplit/>
        </w:trPr>
        <w:tc>
          <w:tcPr>
            <w:tcW w:type="dxa" w:w="1440"/>
            <w:vAlign w:val="center"/>
            <w:shd w:fill="F6F8FA"/>
            <w:tcMar>
              <w:top w:w="85" w:type="dxa"/>
              <w:left w:w="85" w:type="dxa"/>
              <w:bottom w:w="85" w:type="dxa"/>
              <w:right w:w="85" w:type="dxa"/>
            </w:tcMar>
          </w:tcPr>
          <w:p>
            <w:pPr>
              <w:spacing w:after="60" w:before="60" w:line="240" w:lineRule="auto"/>
              <w:jc w:val="left"/>
            </w:pPr>
            <w:r>
              <w:rPr>
                <w:rFonts w:ascii="Calibri" w:hAnsi="Calibri"/>
                <w:b w:val="0"/>
                <w:sz w:val="19"/>
              </w:rPr>
              <w:t>NORMAL</w:t>
            </w:r>
          </w:p>
        </w:tc>
        <w:tc>
          <w:tcPr>
            <w:tcW w:type="dxa" w:w="7920"/>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10/20  10/30  15/25  15/30  15/40  20/30  20/40</w:t>
            </w:r>
          </w:p>
        </w:tc>
      </w:tr>
      <w:tr>
        <w:trPr>
          <w:cantSplit/>
        </w:trPr>
        <w:tc>
          <w:tcPr>
            <w:tcW w:type="dxa" w:w="1440"/>
            <w:vAlign w:val="center"/>
            <w:shd w:fill="FFFFFF"/>
            <w:tcMar>
              <w:top w:w="85" w:type="dxa"/>
              <w:left w:w="85" w:type="dxa"/>
              <w:bottom w:w="85" w:type="dxa"/>
              <w:right w:w="85" w:type="dxa"/>
            </w:tcMar>
          </w:tcPr>
          <w:p>
            <w:pPr>
              <w:spacing w:after="60" w:before="60" w:line="240" w:lineRule="auto"/>
              <w:jc w:val="left"/>
            </w:pPr>
            <w:r>
              <w:rPr>
                <w:rFonts w:ascii="Calibri" w:hAnsi="Calibri"/>
                <w:b w:val="0"/>
                <w:sz w:val="19"/>
              </w:rPr>
              <w:t>HIGH</w:t>
            </w:r>
          </w:p>
        </w:tc>
        <w:tc>
          <w:tcPr>
            <w:tcW w:type="dxa" w:w="7920"/>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10/30  15/30  15/40  20/30  20/40  20/45  25/40  25/45</w:t>
            </w:r>
          </w:p>
        </w:tc>
      </w:tr>
    </w:tbl>
    <w:p>
      <w:pPr>
        <w:spacing w:after="60"/>
      </w:pPr>
    </w:p>
    <w:p>
      <w:pPr>
        <w:pStyle w:val="Normal"/>
        <w:keepNext/>
      </w:pPr>
      <w:r>
        <w:rPr>
          <w:b w:val="0"/>
        </w:rPr>
        <w:t>Figura 3   Impulso MNQ adattivo a size di portafoglio</w:t>
      </w:r>
    </w:p>
    <w:p>
      <w:r>
        <w:drawing>
          <wp:inline xmlns:a="http://schemas.openxmlformats.org/drawingml/2006/main" xmlns:pic="http://schemas.openxmlformats.org/drawingml/2006/picture">
            <wp:extent cx="5943600" cy="2759529"/>
            <wp:docPr id="3" name="Picture 3" descr="Impulso MNQ adattivo a size di portafoglio"/>
            <wp:cNvGraphicFramePr>
              <a:graphicFrameLocks noChangeAspect="1"/>
            </wp:cNvGraphicFramePr>
            <a:graphic>
              <a:graphicData uri="http://schemas.openxmlformats.org/drawingml/2006/picture">
                <pic:pic>
                  <pic:nvPicPr>
                    <pic:cNvPr id="0" name="Impulso_MNQ.png"/>
                    <pic:cNvPicPr/>
                  </pic:nvPicPr>
                  <pic:blipFill>
                    <a:blip r:embed="rId24"/>
                    <a:stretch>
                      <a:fillRect/>
                    </a:stretch>
                  </pic:blipFill>
                  <pic:spPr>
                    <a:xfrm>
                      <a:off x="0" y="0"/>
                      <a:ext cx="5943600" cy="2759529"/>
                    </a:xfrm>
                    <a:prstGeom prst="rect"/>
                  </pic:spPr>
                </pic:pic>
              </a:graphicData>
            </a:graphic>
          </wp:inline>
        </w:drawing>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1008"/>
        <w:gridCol w:w="1440"/>
        <w:gridCol w:w="1152"/>
        <w:gridCol w:w="1800"/>
        <w:gridCol w:w="1800"/>
      </w:tblGrid>
      <w:tr>
        <w:trPr>
          <w:cantSplit/>
          <w:tblHeader/>
        </w:trPr>
        <w:tc>
          <w:tcPr>
            <w:tcW w:type="dxa" w:w="2160"/>
            <w:vAlign w:val="center"/>
            <w:shd w:fill="DDEAF2"/>
            <w:tcMar>
              <w:top w:w="85" w:type="dxa"/>
              <w:left w:w="85" w:type="dxa"/>
              <w:bottom w:w="85" w:type="dxa"/>
              <w:right w:w="85" w:type="dxa"/>
            </w:tcMar>
          </w:tcPr>
          <w:p>
            <w:pPr>
              <w:spacing w:after="60" w:before="60" w:line="240" w:lineRule="auto"/>
              <w:jc w:val="left"/>
            </w:pPr>
            <w:r>
              <w:rPr>
                <w:rFonts w:ascii="Calibri" w:hAnsi="Calibri"/>
                <w:b/>
                <w:sz w:val="19"/>
              </w:rPr>
              <w:t>Anno a un MNQ</w:t>
            </w:r>
          </w:p>
        </w:tc>
        <w:tc>
          <w:tcPr>
            <w:tcW w:type="dxa" w:w="1008"/>
            <w:vAlign w:val="center"/>
            <w:shd w:fill="DDEAF2"/>
            <w:tcMar>
              <w:top w:w="85" w:type="dxa"/>
              <w:left w:w="85" w:type="dxa"/>
              <w:bottom w:w="85" w:type="dxa"/>
              <w:right w:w="85" w:type="dxa"/>
            </w:tcMar>
          </w:tcPr>
          <w:p>
            <w:pPr>
              <w:spacing w:after="60" w:before="60" w:line="240" w:lineRule="auto"/>
              <w:jc w:val="center"/>
            </w:pPr>
            <w:r>
              <w:rPr>
                <w:rFonts w:ascii="Calibri" w:hAnsi="Calibri"/>
                <w:b/>
                <w:sz w:val="19"/>
              </w:rPr>
              <w:t>Trade</w:t>
            </w:r>
          </w:p>
        </w:tc>
        <w:tc>
          <w:tcPr>
            <w:tcW w:type="dxa" w:w="1440"/>
            <w:vAlign w:val="center"/>
            <w:shd w:fill="DDEAF2"/>
            <w:tcMar>
              <w:top w:w="85" w:type="dxa"/>
              <w:left w:w="85" w:type="dxa"/>
              <w:bottom w:w="85" w:type="dxa"/>
              <w:right w:w="85" w:type="dxa"/>
            </w:tcMar>
          </w:tcPr>
          <w:p>
            <w:pPr>
              <w:spacing w:after="60" w:before="60" w:line="240" w:lineRule="auto"/>
              <w:jc w:val="center"/>
            </w:pPr>
            <w:r>
              <w:rPr>
                <w:rFonts w:ascii="Calibri" w:hAnsi="Calibri"/>
                <w:b/>
                <w:sz w:val="19"/>
              </w:rPr>
              <w:t>WR</w:t>
            </w:r>
          </w:p>
        </w:tc>
        <w:tc>
          <w:tcPr>
            <w:tcW w:type="dxa" w:w="1152"/>
            <w:vAlign w:val="center"/>
            <w:shd w:fill="DDEAF2"/>
            <w:tcMar>
              <w:top w:w="85" w:type="dxa"/>
              <w:left w:w="85" w:type="dxa"/>
              <w:bottom w:w="85" w:type="dxa"/>
              <w:right w:w="85" w:type="dxa"/>
            </w:tcMar>
          </w:tcPr>
          <w:p>
            <w:pPr>
              <w:spacing w:after="60" w:before="60" w:line="240" w:lineRule="auto"/>
              <w:jc w:val="center"/>
            </w:pPr>
            <w:r>
              <w:rPr>
                <w:rFonts w:ascii="Calibri" w:hAnsi="Calibri"/>
                <w:b/>
                <w:sz w:val="19"/>
              </w:rPr>
              <w:t>PF</w:t>
            </w:r>
          </w:p>
        </w:tc>
        <w:tc>
          <w:tcPr>
            <w:tcW w:type="dxa" w:w="1800"/>
            <w:vAlign w:val="center"/>
            <w:shd w:fill="DDEAF2"/>
            <w:tcMar>
              <w:top w:w="85" w:type="dxa"/>
              <w:left w:w="85" w:type="dxa"/>
              <w:bottom w:w="85" w:type="dxa"/>
              <w:right w:w="85" w:type="dxa"/>
            </w:tcMar>
          </w:tcPr>
          <w:p>
            <w:pPr>
              <w:spacing w:after="60" w:before="60" w:line="240" w:lineRule="auto"/>
              <w:jc w:val="center"/>
            </w:pPr>
            <w:r>
              <w:rPr>
                <w:rFonts w:ascii="Calibri" w:hAnsi="Calibri"/>
                <w:b/>
                <w:sz w:val="19"/>
              </w:rPr>
              <w:t>Netto USD</w:t>
            </w:r>
          </w:p>
        </w:tc>
        <w:tc>
          <w:tcPr>
            <w:tcW w:type="dxa" w:w="1800"/>
            <w:vAlign w:val="center"/>
            <w:shd w:fill="DDEAF2"/>
            <w:tcMar>
              <w:top w:w="85" w:type="dxa"/>
              <w:left w:w="85" w:type="dxa"/>
              <w:bottom w:w="85" w:type="dxa"/>
              <w:right w:w="85" w:type="dxa"/>
            </w:tcMar>
          </w:tcPr>
          <w:p>
            <w:pPr>
              <w:spacing w:after="60" w:before="60" w:line="240" w:lineRule="auto"/>
              <w:jc w:val="center"/>
            </w:pPr>
            <w:r>
              <w:rPr>
                <w:rFonts w:ascii="Calibri" w:hAnsi="Calibri"/>
                <w:b/>
                <w:sz w:val="19"/>
              </w:rPr>
              <w:t>DD USD</w:t>
            </w:r>
          </w:p>
        </w:tc>
      </w:tr>
      <w:tr>
        <w:trPr>
          <w:cantSplit/>
        </w:trPr>
        <w:tc>
          <w:tcPr>
            <w:tcW w:type="dxa" w:w="2160"/>
            <w:vAlign w:val="center"/>
            <w:shd w:fill="FFFFFF"/>
            <w:tcMar>
              <w:top w:w="85" w:type="dxa"/>
              <w:left w:w="85" w:type="dxa"/>
              <w:bottom w:w="85" w:type="dxa"/>
              <w:right w:w="85" w:type="dxa"/>
            </w:tcMar>
          </w:tcPr>
          <w:p>
            <w:pPr>
              <w:spacing w:after="60" w:before="60" w:line="240" w:lineRule="auto"/>
              <w:jc w:val="left"/>
            </w:pPr>
            <w:r>
              <w:rPr>
                <w:rFonts w:ascii="Calibri" w:hAnsi="Calibri"/>
                <w:b w:val="0"/>
                <w:sz w:val="19"/>
              </w:rPr>
              <w:t>2025</w:t>
            </w:r>
          </w:p>
        </w:tc>
        <w:tc>
          <w:tcPr>
            <w:tcW w:type="dxa" w:w="1008"/>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211</w:t>
            </w:r>
          </w:p>
        </w:tc>
        <w:tc>
          <w:tcPr>
            <w:tcW w:type="dxa" w:w="1440"/>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75,36%</w:t>
            </w:r>
          </w:p>
        </w:tc>
        <w:tc>
          <w:tcPr>
            <w:tcW w:type="dxa" w:w="1152"/>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1,311</w:t>
            </w:r>
          </w:p>
        </w:tc>
        <w:tc>
          <w:tcPr>
            <w:tcW w:type="dxa" w:w="1800"/>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967,50</w:t>
            </w:r>
          </w:p>
        </w:tc>
        <w:tc>
          <w:tcPr>
            <w:tcW w:type="dxa" w:w="1800"/>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342,00</w:t>
            </w:r>
          </w:p>
        </w:tc>
      </w:tr>
      <w:tr>
        <w:trPr>
          <w:cantSplit/>
        </w:trPr>
        <w:tc>
          <w:tcPr>
            <w:tcW w:type="dxa" w:w="2160"/>
            <w:vAlign w:val="center"/>
            <w:shd w:fill="F6F8FA"/>
            <w:tcMar>
              <w:top w:w="85" w:type="dxa"/>
              <w:left w:w="85" w:type="dxa"/>
              <w:bottom w:w="85" w:type="dxa"/>
              <w:right w:w="85" w:type="dxa"/>
            </w:tcMar>
          </w:tcPr>
          <w:p>
            <w:pPr>
              <w:spacing w:after="60" w:before="60" w:line="240" w:lineRule="auto"/>
              <w:jc w:val="left"/>
            </w:pPr>
            <w:r>
              <w:rPr>
                <w:rFonts w:ascii="Calibri" w:hAnsi="Calibri"/>
                <w:b w:val="0"/>
                <w:sz w:val="19"/>
              </w:rPr>
              <w:t>2026 parziale</w:t>
            </w:r>
          </w:p>
        </w:tc>
        <w:tc>
          <w:tcPr>
            <w:tcW w:type="dxa" w:w="1008"/>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200</w:t>
            </w:r>
          </w:p>
        </w:tc>
        <w:tc>
          <w:tcPr>
            <w:tcW w:type="dxa" w:w="1440"/>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72,00%</w:t>
            </w:r>
          </w:p>
        </w:tc>
        <w:tc>
          <w:tcPr>
            <w:tcW w:type="dxa" w:w="1152"/>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1,254</w:t>
            </w:r>
          </w:p>
        </w:tc>
        <w:tc>
          <w:tcPr>
            <w:tcW w:type="dxa" w:w="1800"/>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900,00</w:t>
            </w:r>
          </w:p>
        </w:tc>
        <w:tc>
          <w:tcPr>
            <w:tcW w:type="dxa" w:w="1800"/>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576,00</w:t>
            </w:r>
          </w:p>
        </w:tc>
      </w:tr>
    </w:tbl>
    <w:p>
      <w:pPr>
        <w:spacing w:after="60"/>
      </w:pPr>
    </w:p>
    <w:p>
      <w:pPr>
        <w:pStyle w:val="Normal"/>
      </w:pPr>
      <w:r>
        <w:rPr>
          <w:b w:val="0"/>
        </w:rPr>
        <w:t>Le uscite adattive aumentano il PnL rispetto alla baseline fissa nei due campioni, ma la baseline presenta WR e PF più elevati e DD inferiore. L’adattività non migliora ogni metrica. Il totale a un MNQ è 1.867,50 USD su 411 operazioni; nel portafoglio a quantità variabile il medesimo modulo vale 14.895 USD. Lo Sharpe attivo usato nei vecchi report non è confrontabile con lo Sharpe business day riportato qui. [S5]</w:t>
      </w:r>
    </w:p>
    <w:p>
      <w:pPr>
        <w:pStyle w:val="Normal"/>
        <w:keepNext/>
      </w:pPr>
      <w:r>
        <w:rPr>
          <w:b w:val="0"/>
        </w:rPr>
        <w:t>Figura 4   Impulso a un solo MNQ senza size variabile</w:t>
      </w:r>
    </w:p>
    <w:p>
      <w:r>
        <w:drawing>
          <wp:inline xmlns:a="http://schemas.openxmlformats.org/drawingml/2006/main" xmlns:pic="http://schemas.openxmlformats.org/drawingml/2006/picture">
            <wp:extent cx="5943600" cy="2701636"/>
            <wp:docPr id="4" name="Picture 4" descr="Impulso a un solo MNQ senza size variabile"/>
            <wp:cNvGraphicFramePr>
              <a:graphicFrameLocks noChangeAspect="1"/>
            </wp:cNvGraphicFramePr>
            <a:graphic>
              <a:graphicData uri="http://schemas.openxmlformats.org/drawingml/2006/picture">
                <pic:pic>
                  <pic:nvPicPr>
                    <pic:cNvPr id="0" name="equity.png"/>
                    <pic:cNvPicPr/>
                  </pic:nvPicPr>
                  <pic:blipFill>
                    <a:blip r:embed="rId25"/>
                    <a:stretch>
                      <a:fillRect/>
                    </a:stretch>
                  </pic:blipFill>
                  <pic:spPr>
                    <a:xfrm>
                      <a:off x="0" y="0"/>
                      <a:ext cx="5943600" cy="2701636"/>
                    </a:xfrm>
                    <a:prstGeom prst="rect"/>
                  </pic:spPr>
                </pic:pic>
              </a:graphicData>
            </a:graphic>
          </wp:inline>
        </w:drawing>
      </w:r>
    </w:p>
    <w:p>
      <w:pPr>
        <w:pStyle w:val="Heading1"/>
      </w:pPr>
      <w:r>
        <w:t>11 CVD reversal M6E</w:t>
      </w:r>
    </w:p>
    <w:p>
      <w:pPr>
        <w:pStyle w:val="Normal"/>
      </w:pPr>
      <w:r>
        <w:rPr>
          <w:b w:val="0"/>
        </w:rPr>
        <w:t>Il codice demo corrente valuta barre orarie interamente completate nella finestra 08:00 fino alle 16:00 New York. Richiede close minore di open e delta aggregato positivo, ricavato dai flag aggressor buy e sell. Una barra parziale di startup viene scartata; una barra priva di transazioni classificate non genera il segnale. Il fallback di tick direction è disattivato. [S6 S7]</w:t>
      </w:r>
    </w:p>
    <w:p>
      <w:pPr>
        <w:pStyle w:val="Normal"/>
      </w:pPr>
      <w:r>
        <w:rPr>
          <w:b w:val="0"/>
        </w:rPr>
        <w:t>Con ADR14 fino a 74 tick si usano due ingressi limit sotto il minimo, offset 2 e 9 tick, TP10 SL30. La fascia ADR oltre 74 e fino a 84 non viene tradata. Oltre 84 l’offset è 44 tick, TP15 SL45. L’ordine limit scade dopo 48 ore; sono previsti fino a due slot per gamba. Il budget di setup viene ripartito tra A e B.</w:t>
      </w:r>
    </w:p>
    <w:p>
      <w:pPr>
        <w:pStyle w:val="Normal"/>
      </w:pPr>
      <w:r>
        <w:rPr>
          <w:b w:val="0"/>
        </w:rPr>
        <w:t>Il confine giornaliero nativo è alle 18:00 New York. Il precedente report citava le 22:00 UTC fisse: queste convenzioni coincidono durante il DST statunitense ma non in inverno. Il calendario ADR deve essere riconciliato con quello storico.</w:t>
      </w:r>
    </w:p>
    <w:p>
      <w:pPr>
        <w:pStyle w:val="Normal"/>
      </w:pPr>
      <w:r>
        <w:rPr>
          <w:b w:val="0"/>
        </w:rPr>
        <w:t>Il vecchio report di riferimento formalizzava anche un minimo sotto il PDL e altre soglie di forza. Queste condizioni aggiuntive non compaiono nel segnale del codice nativo corrente. Non le presento come regole operative attive né trasferisco il vecchio PF o le vecchie commissioni al nuovo ledger. La parità completa tra segnale storico e nativo deve essere riconciliata riga per riga.</w:t>
      </w:r>
    </w:p>
    <w:p>
      <w:pPr>
        <w:pStyle w:val="Normal"/>
        <w:keepNext/>
      </w:pPr>
      <w:r>
        <w:rPr>
          <w:b w:val="0"/>
        </w:rPr>
        <w:t>Figura 5   CVD M6E del ledger corrente con costi normalizzati</w:t>
      </w:r>
    </w:p>
    <w:p>
      <w:r>
        <w:drawing>
          <wp:inline xmlns:a="http://schemas.openxmlformats.org/drawingml/2006/main" xmlns:pic="http://schemas.openxmlformats.org/drawingml/2006/picture">
            <wp:extent cx="5943600" cy="2759529"/>
            <wp:docPr id="5" name="Picture 5" descr="CVD M6E del ledger corrente con costi normalizzati"/>
            <wp:cNvGraphicFramePr>
              <a:graphicFrameLocks noChangeAspect="1"/>
            </wp:cNvGraphicFramePr>
            <a:graphic>
              <a:graphicData uri="http://schemas.openxmlformats.org/drawingml/2006/picture">
                <pic:pic>
                  <pic:nvPicPr>
                    <pic:cNvPr id="0" name="CVD_M6E.png"/>
                    <pic:cNvPicPr/>
                  </pic:nvPicPr>
                  <pic:blipFill>
                    <a:blip r:embed="rId26"/>
                    <a:stretch>
                      <a:fillRect/>
                    </a:stretch>
                  </pic:blipFill>
                  <pic:spPr>
                    <a:xfrm>
                      <a:off x="0" y="0"/>
                      <a:ext cx="5943600" cy="2759529"/>
                    </a:xfrm>
                    <a:prstGeom prst="rect"/>
                  </pic:spPr>
                </pic:pic>
              </a:graphicData>
            </a:graphic>
          </wp:inline>
        </w:drawing>
      </w:r>
    </w:p>
    <w:p>
      <w:pPr>
        <w:pStyle w:val="Normal"/>
      </w:pPr>
      <w:r>
        <w:rPr>
          <w:b w:val="0"/>
        </w:rPr>
        <w:t>Il modulo corrente conta 338 righe, WR 85,50%, PF 1,775, expectancy 25,93 USD e DD chiuso 1.248 USD. Queste metriche non certificano il vecchio event study, il benchmark random o i test DSR e PBO del report CVD: quelli erano calcolati su un’altra configurazione e non sono ricalcolati in questa consegna. La separazione tra signal alpha e beneficio dell’entry limit resta una priorità.</w:t>
      </w:r>
    </w:p>
    <w:p>
      <w:pPr>
        <w:pStyle w:val="Heading1"/>
      </w:pPr>
      <w:r>
        <w:t>12 CAD fade dei livelli del giorno precedente</w:t>
      </w:r>
    </w:p>
    <w:p>
      <w:pPr>
        <w:pStyle w:val="Normal"/>
      </w:pPr>
      <w:r>
        <w:rPr>
          <w:b w:val="0"/>
        </w:rPr>
        <w:t>La ricerca usa MCD micro. Il porting in Quantower è sul CAD standard 6C con unità di prezzo esplicita 0,0001, indipendente dal tick nativo. Il giorno di ricerca ha confine alle 22:00 UTC, non un orario locale automaticamente aggiustato al DST. PDL e PDH derivano dal giorno completato precedente. [S1 S7]</w:t>
      </w:r>
    </w:p>
    <w:p>
      <w:pPr>
        <w:pStyle w:val="Normal"/>
      </w:pPr>
      <w:r>
        <w:rPr>
          <w:b w:val="0"/>
        </w:rPr>
        <w:t>Long limit sotto PDL di 17 unità di 0,0001, target 10 e stop 20. Short limit sopra PDH di 10 unità, con due gambe: target 15 e 25, stop comune 15. Nella configurazione demo di base è vietato inserire l’ordine opposto mentre esiste una posizione aperta. Il bootstrap dei livelli deve attraversare le barre dalla più vecchia alla più recente per non scegliere livelli remoti.</w:t>
      </w:r>
    </w:p>
    <w:p>
      <w:pPr>
        <w:pStyle w:val="Normal"/>
        <w:keepNext/>
      </w:pPr>
      <w:r>
        <w:rPr>
          <w:b w:val="0"/>
        </w:rPr>
        <w:t>Figura 6   CAD fade del ledger MCD e non un backtest dollarizzato su 6C</w:t>
      </w:r>
    </w:p>
    <w:p>
      <w:r>
        <w:drawing>
          <wp:inline xmlns:a="http://schemas.openxmlformats.org/drawingml/2006/main" xmlns:pic="http://schemas.openxmlformats.org/drawingml/2006/picture">
            <wp:extent cx="5943600" cy="2759529"/>
            <wp:docPr id="6" name="Picture 6" descr="CAD fade del ledger MCD e non un backtest dollarizzato su 6C"/>
            <wp:cNvGraphicFramePr>
              <a:graphicFrameLocks noChangeAspect="1"/>
            </wp:cNvGraphicFramePr>
            <a:graphic>
              <a:graphicData uri="http://schemas.openxmlformats.org/drawingml/2006/picture">
                <pic:pic>
                  <pic:nvPicPr>
                    <pic:cNvPr id="0" name="CAD_fade_MCD.png"/>
                    <pic:cNvPicPr/>
                  </pic:nvPicPr>
                  <pic:blipFill>
                    <a:blip r:embed="rId27"/>
                    <a:stretch>
                      <a:fillRect/>
                    </a:stretch>
                  </pic:blipFill>
                  <pic:spPr>
                    <a:xfrm>
                      <a:off x="0" y="0"/>
                      <a:ext cx="5943600" cy="2759529"/>
                    </a:xfrm>
                    <a:prstGeom prst="rect"/>
                  </pic:spPr>
                </pic:pic>
              </a:graphicData>
            </a:graphic>
          </wp:inline>
        </w:drawing>
      </w:r>
    </w:p>
    <w:p>
      <w:pPr>
        <w:pStyle w:val="Normal"/>
      </w:pPr>
      <w:r>
        <w:rPr>
          <w:b w:val="0"/>
        </w:rPr>
        <w:t>Il ledger MCD conta 171 righe, WR 59,06%, PF 1,414, expectancy 70,61 USD, netto 12.075 USD e DD chiuso 2.976 USD. Per ogni 0,0001 di movimento un contratto 6C vale 10 USD, un MCD 1 USD. Un cambio di contratto impone un nuovo calcolo della quantità e può rendere impossibile il rischio desiderato con contratti interi.</w:t>
      </w:r>
    </w:p>
    <w:p>
      <w:pPr>
        <w:pStyle w:val="Heading1"/>
      </w:pPr>
      <w:r>
        <w:t>13 Vault break MNQ</w:t>
      </w:r>
    </w:p>
    <w:p>
      <w:pPr>
        <w:pStyle w:val="Normal"/>
      </w:pPr>
      <w:r>
        <w:rPr>
          <w:b w:val="0"/>
        </w:rPr>
        <w:t>Il motore esamina barre complete di 30 minuti e usa il daily ATR medio delle precedenti 15 giornate completate, chiamato PriorAtr nel codice. Il long richiede chiusura sopra sessionOpen più 0,30 volte PriorAtr e sopra VWAP di sessione. La finestra va dalle 10:00 fino alle 14:30 America/Chicago; le conversioni verso l’Italia cambiano nelle settimane di disallineamento DST. [S7]</w:t>
      </w:r>
    </w:p>
    <w:p>
      <w:pPr>
        <w:pStyle w:val="Normal"/>
      </w:pPr>
      <w:r>
        <w:rPr>
          <w:b w:val="0"/>
        </w:rPr>
        <w:t>TP40 punti e SL75 punti, scadenza di sessione 14:30 Chicago, massimo tre ingressi giornalieri e nessuna nuova posizione finché il trade selezionato è aperto. Il prezzo eseguibile è il primo print osservato dopo il confine di chiusura. Il modulo non è il VWAP Pullback escluso dal portafoglio.</w:t>
      </w:r>
    </w:p>
    <w:p>
      <w:pPr>
        <w:pStyle w:val="Normal"/>
        <w:keepNext/>
      </w:pPr>
      <w:r>
        <w:rPr>
          <w:b w:val="0"/>
        </w:rPr>
        <w:t>Figura 7   Vault break MNQ long del ledger corrente</w:t>
      </w:r>
    </w:p>
    <w:p>
      <w:r>
        <w:drawing>
          <wp:inline xmlns:a="http://schemas.openxmlformats.org/drawingml/2006/main" xmlns:pic="http://schemas.openxmlformats.org/drawingml/2006/picture">
            <wp:extent cx="5943600" cy="2759529"/>
            <wp:docPr id="7" name="Picture 7" descr="Vault break MNQ long del ledger corrente"/>
            <wp:cNvGraphicFramePr>
              <a:graphicFrameLocks noChangeAspect="1"/>
            </wp:cNvGraphicFramePr>
            <a:graphic>
              <a:graphicData uri="http://schemas.openxmlformats.org/drawingml/2006/picture">
                <pic:pic>
                  <pic:nvPicPr>
                    <pic:cNvPr id="0" name="Vault_MNQ.png"/>
                    <pic:cNvPicPr/>
                  </pic:nvPicPr>
                  <pic:blipFill>
                    <a:blip r:embed="rId28"/>
                    <a:stretch>
                      <a:fillRect/>
                    </a:stretch>
                  </pic:blipFill>
                  <pic:spPr>
                    <a:xfrm>
                      <a:off x="0" y="0"/>
                      <a:ext cx="5943600" cy="2759529"/>
                    </a:xfrm>
                    <a:prstGeom prst="rect"/>
                  </pic:spPr>
                </pic:pic>
              </a:graphicData>
            </a:graphic>
          </wp:inline>
        </w:drawing>
      </w:r>
    </w:p>
    <w:p>
      <w:pPr>
        <w:pStyle w:val="Normal"/>
      </w:pPr>
      <w:r>
        <w:rPr>
          <w:b w:val="0"/>
        </w:rPr>
        <w:t>Risultati: 410 righe, WR 67,80%, PF 1,315, expectancy 36,65 USD, netto 15.025,50 USD e DD chiuso 3.826,50 USD. L’idea è un’interpretazione indipendente di una strategia discussa pubblicamente nel video indicato tra le fonti; non rivendico l’originalità di quell’idea. La ricerca locale riguarda la formalizzazione e il test sul dataset disponibile. [S8]</w:t>
      </w:r>
    </w:p>
    <w:p>
      <w:pPr>
        <w:pStyle w:val="Heading1"/>
      </w:pPr>
      <w:r>
        <w:t>14 Overnight bias ORB MNQ</w:t>
      </w:r>
    </w:p>
    <w:p>
      <w:pPr>
        <w:pStyle w:val="Normal"/>
      </w:pPr>
      <w:r>
        <w:rPr>
          <w:b w:val="0"/>
        </w:rPr>
        <w:t>Il range overnight viene ricostruito dalle 23:00 del giorno precedente alle 08:30 America/Chicago. Il primo opening range cash comprende 08:30 fino alle 08:45. Se l’apertura cash è nel terzo superiore dell’overnight, il bias è long; nel terzo inferiore è short; nella parte centrale non c’è bias. Occorre copertura overnight di almeno 480 barre minute. [S7]</w:t>
      </w:r>
    </w:p>
    <w:p>
      <w:pPr>
        <w:pStyle w:val="Normal"/>
      </w:pPr>
      <w:r>
        <w:rPr>
          <w:b w:val="0"/>
        </w:rPr>
        <w:t>Il primo breakout eleggibile è una barra completa di 15 minuti oltre il massimo o minimo dell’opening range nella direzione del bias, con ADX15 oltre 20. Stop pari a 0,30 volte PriorAtr e target pari a tre stop. Un solo segnale al giorno, senza entrate sostitutive se il primo è già passato o è stato rifiutato. Uscita entro 14:30 Chicago. Non si interpreta il bias come un forecast direzionale derivato dal VXN.</w:t>
      </w:r>
    </w:p>
    <w:p>
      <w:pPr>
        <w:pStyle w:val="Normal"/>
        <w:keepNext/>
      </w:pPr>
      <w:r>
        <w:rPr>
          <w:b w:val="0"/>
        </w:rPr>
        <w:t>Figura 8   Overnight bias ORB MNQ a size di portafoglio</w:t>
      </w:r>
    </w:p>
    <w:p>
      <w:r>
        <w:drawing>
          <wp:inline xmlns:a="http://schemas.openxmlformats.org/drawingml/2006/main" xmlns:pic="http://schemas.openxmlformats.org/drawingml/2006/picture">
            <wp:extent cx="5943600" cy="2759529"/>
            <wp:docPr id="8" name="Picture 8" descr="Overnight bias ORB MNQ a size di portafoglio"/>
            <wp:cNvGraphicFramePr>
              <a:graphicFrameLocks noChangeAspect="1"/>
            </wp:cNvGraphicFramePr>
            <a:graphic>
              <a:graphicData uri="http://schemas.openxmlformats.org/drawingml/2006/picture">
                <pic:pic>
                  <pic:nvPicPr>
                    <pic:cNvPr id="0" name="Overnight_MNQ.png"/>
                    <pic:cNvPicPr/>
                  </pic:nvPicPr>
                  <pic:blipFill>
                    <a:blip r:embed="rId29"/>
                    <a:stretch>
                      <a:fillRect/>
                    </a:stretch>
                  </pic:blipFill>
                  <pic:spPr>
                    <a:xfrm>
                      <a:off x="0" y="0"/>
                      <a:ext cx="5943600" cy="2759529"/>
                    </a:xfrm>
                    <a:prstGeom prst="rect"/>
                  </pic:spPr>
                </pic:pic>
              </a:graphicData>
            </a:graphic>
          </wp:inline>
        </w:drawing>
      </w:r>
    </w:p>
    <w:p>
      <w:pPr>
        <w:pStyle w:val="Normal"/>
      </w:pPr>
      <w:r>
        <w:rPr>
          <w:b w:val="0"/>
        </w:rPr>
        <w:t>Risultati: 159 righe, WR 54,09%, PF 1,412, expectancy 50,22 USD, netto 7.984,50 USD e DD chiuso 2.101 USD. Una discrepanza di startup poteva aprire un trade su un breakout successivo al primo segnale storico. Il fix salva il primo timestamp per data anche durante il warm up e disabilita il late entry; deve essere verificata la DLL realmente caricata, non soltanto il sorgente. [S7 S8]</w:t>
      </w:r>
    </w:p>
    <w:p>
      <w:pPr>
        <w:pStyle w:val="Heading1"/>
      </w:pPr>
      <w:r>
        <w:t>15 Metriche e rischio di confronto</w:t>
      </w:r>
    </w:p>
    <w:p>
      <w:pPr>
        <w:pStyle w:val="Normal"/>
      </w:pPr>
      <w:r>
        <w:rPr>
          <w:b w:val="0"/>
        </w:rPr>
        <w:t>Win rate è la frazione di righe con PnL netto positivo; i pareggi non sono win. Profit factor è somma dei profitti divisa per il valore assoluto delle perdite. Expectancy è PnL netto medio per riga. Il DD include il capitale iniziale di PnL zero e misura la discesa dal precedente massimo sulla serie chiusa. Non è la MAE dei trade aperti.</w:t>
      </w:r>
    </w:p>
    <w:p>
      <w:pPr>
        <w:pStyle w:val="Normal"/>
      </w:pPr>
      <w:r>
        <w:rPr>
          <w:b w:val="0"/>
        </w:rPr>
        <w:t>Lo Sharpe usa PnL giornaliero business day con giorni feriali vuoti a zero, deviazione standard campionaria e annualizzazione con radice di 252. I festivi non sono rimossi con calendario ufficiale. Per i singoli moduli si usa il rispettivo intervallo osservato; la correlazione usa l’intervallo consolidato. È uno Sharpe proxy su capitale di riferimento costante, non uno Sharpe di NAV live. [S1]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864"/>
        <w:gridCol w:w="1152"/>
        <w:gridCol w:w="1008"/>
        <w:gridCol w:w="1584"/>
        <w:gridCol w:w="1872"/>
      </w:tblGrid>
      <w:tr>
        <w:trPr>
          <w:cantSplit/>
          <w:tblHeader/>
        </w:trPr>
        <w:tc>
          <w:tcPr>
            <w:tcW w:type="dxa" w:w="2880"/>
            <w:vAlign w:val="center"/>
            <w:shd w:fill="DDEAF2"/>
            <w:tcMar>
              <w:top w:w="85" w:type="dxa"/>
              <w:left w:w="85" w:type="dxa"/>
              <w:bottom w:w="85" w:type="dxa"/>
              <w:right w:w="85" w:type="dxa"/>
            </w:tcMar>
          </w:tcPr>
          <w:p>
            <w:pPr>
              <w:spacing w:after="60" w:before="60" w:line="240" w:lineRule="auto"/>
              <w:jc w:val="left"/>
            </w:pPr>
            <w:r>
              <w:rPr>
                <w:rFonts w:ascii="Calibri" w:hAnsi="Calibri"/>
                <w:b/>
                <w:sz w:val="19"/>
              </w:rPr>
              <w:t>Strategia</w:t>
            </w:r>
          </w:p>
        </w:tc>
        <w:tc>
          <w:tcPr>
            <w:tcW w:type="dxa" w:w="864"/>
            <w:vAlign w:val="center"/>
            <w:shd w:fill="DDEAF2"/>
            <w:tcMar>
              <w:top w:w="85" w:type="dxa"/>
              <w:left w:w="85" w:type="dxa"/>
              <w:bottom w:w="85" w:type="dxa"/>
              <w:right w:w="85" w:type="dxa"/>
            </w:tcMar>
          </w:tcPr>
          <w:p>
            <w:pPr>
              <w:spacing w:after="60" w:before="60" w:line="240" w:lineRule="auto"/>
              <w:jc w:val="center"/>
            </w:pPr>
            <w:r>
              <w:rPr>
                <w:rFonts w:ascii="Calibri" w:hAnsi="Calibri"/>
                <w:b/>
                <w:sz w:val="19"/>
              </w:rPr>
              <w:t>Trade</w:t>
            </w:r>
          </w:p>
        </w:tc>
        <w:tc>
          <w:tcPr>
            <w:tcW w:type="dxa" w:w="1152"/>
            <w:vAlign w:val="center"/>
            <w:shd w:fill="DDEAF2"/>
            <w:tcMar>
              <w:top w:w="85" w:type="dxa"/>
              <w:left w:w="85" w:type="dxa"/>
              <w:bottom w:w="85" w:type="dxa"/>
              <w:right w:w="85" w:type="dxa"/>
            </w:tcMar>
          </w:tcPr>
          <w:p>
            <w:pPr>
              <w:spacing w:after="60" w:before="60" w:line="240" w:lineRule="auto"/>
              <w:jc w:val="center"/>
            </w:pPr>
            <w:r>
              <w:rPr>
                <w:rFonts w:ascii="Calibri" w:hAnsi="Calibri"/>
                <w:b/>
                <w:sz w:val="19"/>
              </w:rPr>
              <w:t>WR</w:t>
            </w:r>
          </w:p>
        </w:tc>
        <w:tc>
          <w:tcPr>
            <w:tcW w:type="dxa" w:w="1008"/>
            <w:vAlign w:val="center"/>
            <w:shd w:fill="DDEAF2"/>
            <w:tcMar>
              <w:top w:w="85" w:type="dxa"/>
              <w:left w:w="85" w:type="dxa"/>
              <w:bottom w:w="85" w:type="dxa"/>
              <w:right w:w="85" w:type="dxa"/>
            </w:tcMar>
          </w:tcPr>
          <w:p>
            <w:pPr>
              <w:spacing w:after="60" w:before="60" w:line="240" w:lineRule="auto"/>
              <w:jc w:val="center"/>
            </w:pPr>
            <w:r>
              <w:rPr>
                <w:rFonts w:ascii="Calibri" w:hAnsi="Calibri"/>
                <w:b/>
                <w:sz w:val="19"/>
              </w:rPr>
              <w:t>PF</w:t>
            </w:r>
          </w:p>
        </w:tc>
        <w:tc>
          <w:tcPr>
            <w:tcW w:type="dxa" w:w="1584"/>
            <w:vAlign w:val="center"/>
            <w:shd w:fill="DDEAF2"/>
            <w:tcMar>
              <w:top w:w="85" w:type="dxa"/>
              <w:left w:w="85" w:type="dxa"/>
              <w:bottom w:w="85" w:type="dxa"/>
              <w:right w:w="85" w:type="dxa"/>
            </w:tcMar>
          </w:tcPr>
          <w:p>
            <w:pPr>
              <w:spacing w:after="60" w:before="60" w:line="240" w:lineRule="auto"/>
              <w:jc w:val="center"/>
            </w:pPr>
            <w:r>
              <w:rPr>
                <w:rFonts w:ascii="Calibri" w:hAnsi="Calibri"/>
                <w:b/>
                <w:sz w:val="19"/>
              </w:rPr>
              <w:t>Exp USD</w:t>
            </w:r>
          </w:p>
        </w:tc>
        <w:tc>
          <w:tcPr>
            <w:tcW w:type="dxa" w:w="1872"/>
            <w:vAlign w:val="center"/>
            <w:shd w:fill="DDEAF2"/>
            <w:tcMar>
              <w:top w:w="85" w:type="dxa"/>
              <w:left w:w="85" w:type="dxa"/>
              <w:bottom w:w="85" w:type="dxa"/>
              <w:right w:w="85" w:type="dxa"/>
            </w:tcMar>
          </w:tcPr>
          <w:p>
            <w:pPr>
              <w:spacing w:after="60" w:before="60" w:line="240" w:lineRule="auto"/>
              <w:jc w:val="center"/>
            </w:pPr>
            <w:r>
              <w:rPr>
                <w:rFonts w:ascii="Calibri" w:hAnsi="Calibri"/>
                <w:b/>
                <w:sz w:val="19"/>
              </w:rPr>
              <w:t>DD USD</w:t>
            </w:r>
          </w:p>
        </w:tc>
      </w:tr>
      <w:tr>
        <w:trPr>
          <w:cantSplit/>
        </w:trPr>
        <w:tc>
          <w:tcPr>
            <w:tcW w:type="dxa" w:w="2880"/>
            <w:vAlign w:val="center"/>
            <w:shd w:fill="FFFFFF"/>
            <w:tcMar>
              <w:top w:w="85" w:type="dxa"/>
              <w:left w:w="85" w:type="dxa"/>
              <w:bottom w:w="85" w:type="dxa"/>
              <w:right w:w="85" w:type="dxa"/>
            </w:tcMar>
          </w:tcPr>
          <w:p>
            <w:pPr>
              <w:spacing w:after="60" w:before="60" w:line="240" w:lineRule="auto"/>
              <w:jc w:val="left"/>
            </w:pPr>
            <w:r>
              <w:rPr>
                <w:rFonts w:ascii="Calibri" w:hAnsi="Calibri"/>
                <w:b w:val="0"/>
                <w:sz w:val="19"/>
              </w:rPr>
              <w:t>CVD M6E</w:t>
            </w:r>
          </w:p>
        </w:tc>
        <w:tc>
          <w:tcPr>
            <w:tcW w:type="dxa" w:w="864"/>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338</w:t>
            </w:r>
          </w:p>
        </w:tc>
        <w:tc>
          <w:tcPr>
            <w:tcW w:type="dxa" w:w="1152"/>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85,50%</w:t>
            </w:r>
          </w:p>
        </w:tc>
        <w:tc>
          <w:tcPr>
            <w:tcW w:type="dxa" w:w="1008"/>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1,77</w:t>
            </w:r>
          </w:p>
        </w:tc>
        <w:tc>
          <w:tcPr>
            <w:tcW w:type="dxa" w:w="1584"/>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25,93</w:t>
            </w:r>
          </w:p>
        </w:tc>
        <w:tc>
          <w:tcPr>
            <w:tcW w:type="dxa" w:w="1872"/>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1.248,00</w:t>
            </w:r>
          </w:p>
        </w:tc>
      </w:tr>
      <w:tr>
        <w:trPr>
          <w:cantSplit/>
        </w:trPr>
        <w:tc>
          <w:tcPr>
            <w:tcW w:type="dxa" w:w="2880"/>
            <w:vAlign w:val="center"/>
            <w:shd w:fill="F6F8FA"/>
            <w:tcMar>
              <w:top w:w="85" w:type="dxa"/>
              <w:left w:w="85" w:type="dxa"/>
              <w:bottom w:w="85" w:type="dxa"/>
              <w:right w:w="85" w:type="dxa"/>
            </w:tcMar>
          </w:tcPr>
          <w:p>
            <w:pPr>
              <w:spacing w:after="60" w:before="60" w:line="240" w:lineRule="auto"/>
              <w:jc w:val="left"/>
            </w:pPr>
            <w:r>
              <w:rPr>
                <w:rFonts w:ascii="Calibri" w:hAnsi="Calibri"/>
                <w:b w:val="0"/>
                <w:sz w:val="19"/>
              </w:rPr>
              <w:t>Impulso MNQ</w:t>
            </w:r>
          </w:p>
        </w:tc>
        <w:tc>
          <w:tcPr>
            <w:tcW w:type="dxa" w:w="864"/>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411</w:t>
            </w:r>
          </w:p>
        </w:tc>
        <w:tc>
          <w:tcPr>
            <w:tcW w:type="dxa" w:w="1152"/>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73,72%</w:t>
            </w:r>
          </w:p>
        </w:tc>
        <w:tc>
          <w:tcPr>
            <w:tcW w:type="dxa" w:w="1008"/>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1,29</w:t>
            </w:r>
          </w:p>
        </w:tc>
        <w:tc>
          <w:tcPr>
            <w:tcW w:type="dxa" w:w="1584"/>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36,24</w:t>
            </w:r>
          </w:p>
        </w:tc>
        <w:tc>
          <w:tcPr>
            <w:tcW w:type="dxa" w:w="1872"/>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4.001,00</w:t>
            </w:r>
          </w:p>
        </w:tc>
      </w:tr>
      <w:tr>
        <w:trPr>
          <w:cantSplit/>
        </w:trPr>
        <w:tc>
          <w:tcPr>
            <w:tcW w:type="dxa" w:w="2880"/>
            <w:vAlign w:val="center"/>
            <w:shd w:fill="FFFFFF"/>
            <w:tcMar>
              <w:top w:w="85" w:type="dxa"/>
              <w:left w:w="85" w:type="dxa"/>
              <w:bottom w:w="85" w:type="dxa"/>
              <w:right w:w="85" w:type="dxa"/>
            </w:tcMar>
          </w:tcPr>
          <w:p>
            <w:pPr>
              <w:spacing w:after="60" w:before="60" w:line="240" w:lineRule="auto"/>
              <w:jc w:val="left"/>
            </w:pPr>
            <w:r>
              <w:rPr>
                <w:rFonts w:ascii="Calibri" w:hAnsi="Calibri"/>
                <w:b w:val="0"/>
                <w:sz w:val="19"/>
              </w:rPr>
              <w:t>CAD fade MCD</w:t>
            </w:r>
          </w:p>
        </w:tc>
        <w:tc>
          <w:tcPr>
            <w:tcW w:type="dxa" w:w="864"/>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171</w:t>
            </w:r>
          </w:p>
        </w:tc>
        <w:tc>
          <w:tcPr>
            <w:tcW w:type="dxa" w:w="1152"/>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59,06%</w:t>
            </w:r>
          </w:p>
        </w:tc>
        <w:tc>
          <w:tcPr>
            <w:tcW w:type="dxa" w:w="1008"/>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1,41</w:t>
            </w:r>
          </w:p>
        </w:tc>
        <w:tc>
          <w:tcPr>
            <w:tcW w:type="dxa" w:w="1584"/>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70,61</w:t>
            </w:r>
          </w:p>
        </w:tc>
        <w:tc>
          <w:tcPr>
            <w:tcW w:type="dxa" w:w="1872"/>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2.976,00</w:t>
            </w:r>
          </w:p>
        </w:tc>
      </w:tr>
      <w:tr>
        <w:trPr>
          <w:cantSplit/>
        </w:trPr>
        <w:tc>
          <w:tcPr>
            <w:tcW w:type="dxa" w:w="2880"/>
            <w:vAlign w:val="center"/>
            <w:shd w:fill="F6F8FA"/>
            <w:tcMar>
              <w:top w:w="85" w:type="dxa"/>
              <w:left w:w="85" w:type="dxa"/>
              <w:bottom w:w="85" w:type="dxa"/>
              <w:right w:w="85" w:type="dxa"/>
            </w:tcMar>
          </w:tcPr>
          <w:p>
            <w:pPr>
              <w:spacing w:after="60" w:before="60" w:line="240" w:lineRule="auto"/>
              <w:jc w:val="left"/>
            </w:pPr>
            <w:r>
              <w:rPr>
                <w:rFonts w:ascii="Calibri" w:hAnsi="Calibri"/>
                <w:b w:val="0"/>
                <w:sz w:val="19"/>
              </w:rPr>
              <w:t>VXN reversal MNQ</w:t>
            </w:r>
          </w:p>
        </w:tc>
        <w:tc>
          <w:tcPr>
            <w:tcW w:type="dxa" w:w="864"/>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60</w:t>
            </w:r>
          </w:p>
        </w:tc>
        <w:tc>
          <w:tcPr>
            <w:tcW w:type="dxa" w:w="1152"/>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71,67%</w:t>
            </w:r>
          </w:p>
        </w:tc>
        <w:tc>
          <w:tcPr>
            <w:tcW w:type="dxa" w:w="1008"/>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1,48</w:t>
            </w:r>
          </w:p>
        </w:tc>
        <w:tc>
          <w:tcPr>
            <w:tcW w:type="dxa" w:w="1584"/>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57,78</w:t>
            </w:r>
          </w:p>
        </w:tc>
        <w:tc>
          <w:tcPr>
            <w:tcW w:type="dxa" w:w="1872"/>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1.260,00</w:t>
            </w:r>
          </w:p>
        </w:tc>
      </w:tr>
      <w:tr>
        <w:trPr>
          <w:cantSplit/>
        </w:trPr>
        <w:tc>
          <w:tcPr>
            <w:tcW w:type="dxa" w:w="2880"/>
            <w:vAlign w:val="center"/>
            <w:shd w:fill="FFFFFF"/>
            <w:tcMar>
              <w:top w:w="85" w:type="dxa"/>
              <w:left w:w="85" w:type="dxa"/>
              <w:bottom w:w="85" w:type="dxa"/>
              <w:right w:w="85" w:type="dxa"/>
            </w:tcMar>
          </w:tcPr>
          <w:p>
            <w:pPr>
              <w:spacing w:after="60" w:before="60" w:line="240" w:lineRule="auto"/>
              <w:jc w:val="left"/>
            </w:pPr>
            <w:r>
              <w:rPr>
                <w:rFonts w:ascii="Calibri" w:hAnsi="Calibri"/>
                <w:b w:val="0"/>
                <w:sz w:val="19"/>
              </w:rPr>
              <w:t>Overnight MNQ</w:t>
            </w:r>
          </w:p>
        </w:tc>
        <w:tc>
          <w:tcPr>
            <w:tcW w:type="dxa" w:w="864"/>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159</w:t>
            </w:r>
          </w:p>
        </w:tc>
        <w:tc>
          <w:tcPr>
            <w:tcW w:type="dxa" w:w="1152"/>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54,09%</w:t>
            </w:r>
          </w:p>
        </w:tc>
        <w:tc>
          <w:tcPr>
            <w:tcW w:type="dxa" w:w="1008"/>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1,41</w:t>
            </w:r>
          </w:p>
        </w:tc>
        <w:tc>
          <w:tcPr>
            <w:tcW w:type="dxa" w:w="1584"/>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50,22</w:t>
            </w:r>
          </w:p>
        </w:tc>
        <w:tc>
          <w:tcPr>
            <w:tcW w:type="dxa" w:w="1872"/>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2.101,00</w:t>
            </w:r>
          </w:p>
        </w:tc>
      </w:tr>
      <w:tr>
        <w:trPr>
          <w:cantSplit/>
        </w:trPr>
        <w:tc>
          <w:tcPr>
            <w:tcW w:type="dxa" w:w="2880"/>
            <w:vAlign w:val="center"/>
            <w:shd w:fill="F6F8FA"/>
            <w:tcMar>
              <w:top w:w="85" w:type="dxa"/>
              <w:left w:w="85" w:type="dxa"/>
              <w:bottom w:w="85" w:type="dxa"/>
              <w:right w:w="85" w:type="dxa"/>
            </w:tcMar>
          </w:tcPr>
          <w:p>
            <w:pPr>
              <w:spacing w:after="60" w:before="60" w:line="240" w:lineRule="auto"/>
              <w:jc w:val="left"/>
            </w:pPr>
            <w:r>
              <w:rPr>
                <w:rFonts w:ascii="Calibri" w:hAnsi="Calibri"/>
                <w:b w:val="0"/>
                <w:sz w:val="19"/>
              </w:rPr>
              <w:t>Vault MNQ</w:t>
            </w:r>
          </w:p>
        </w:tc>
        <w:tc>
          <w:tcPr>
            <w:tcW w:type="dxa" w:w="864"/>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410</w:t>
            </w:r>
          </w:p>
        </w:tc>
        <w:tc>
          <w:tcPr>
            <w:tcW w:type="dxa" w:w="1152"/>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67,80%</w:t>
            </w:r>
          </w:p>
        </w:tc>
        <w:tc>
          <w:tcPr>
            <w:tcW w:type="dxa" w:w="1008"/>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1,31</w:t>
            </w:r>
          </w:p>
        </w:tc>
        <w:tc>
          <w:tcPr>
            <w:tcW w:type="dxa" w:w="1584"/>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36,65</w:t>
            </w:r>
          </w:p>
        </w:tc>
        <w:tc>
          <w:tcPr>
            <w:tcW w:type="dxa" w:w="1872"/>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3.826,50</w:t>
            </w:r>
          </w:p>
        </w:tc>
      </w:tr>
    </w:tbl>
    <w:p>
      <w:pPr>
        <w:spacing w:after="60"/>
      </w:pP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1440"/>
        <w:gridCol w:w="2304"/>
        <w:gridCol w:w="2160"/>
      </w:tblGrid>
      <w:tr>
        <w:trPr>
          <w:cantSplit/>
          <w:tblHeader/>
        </w:trPr>
        <w:tc>
          <w:tcPr>
            <w:tcW w:type="dxa" w:w="3456"/>
            <w:vAlign w:val="center"/>
            <w:shd w:fill="DDEAF2"/>
            <w:tcMar>
              <w:top w:w="85" w:type="dxa"/>
              <w:left w:w="85" w:type="dxa"/>
              <w:bottom w:w="85" w:type="dxa"/>
              <w:right w:w="85" w:type="dxa"/>
            </w:tcMar>
          </w:tcPr>
          <w:p>
            <w:pPr>
              <w:spacing w:after="60" w:before="60" w:line="240" w:lineRule="auto"/>
              <w:jc w:val="left"/>
            </w:pPr>
            <w:r>
              <w:rPr>
                <w:rFonts w:ascii="Calibri" w:hAnsi="Calibri"/>
                <w:b/>
                <w:sz w:val="19"/>
              </w:rPr>
              <w:t>Strategia</w:t>
            </w:r>
          </w:p>
        </w:tc>
        <w:tc>
          <w:tcPr>
            <w:tcW w:type="dxa" w:w="1440"/>
            <w:vAlign w:val="center"/>
            <w:shd w:fill="DDEAF2"/>
            <w:tcMar>
              <w:top w:w="85" w:type="dxa"/>
              <w:left w:w="85" w:type="dxa"/>
              <w:bottom w:w="85" w:type="dxa"/>
              <w:right w:w="85" w:type="dxa"/>
            </w:tcMar>
          </w:tcPr>
          <w:p>
            <w:pPr>
              <w:spacing w:after="60" w:before="60" w:line="240" w:lineRule="auto"/>
              <w:jc w:val="center"/>
            </w:pPr>
            <w:r>
              <w:rPr>
                <w:rFonts w:ascii="Calibri" w:hAnsi="Calibri"/>
                <w:b/>
                <w:sz w:val="19"/>
              </w:rPr>
              <w:t>Sharpe proxy</w:t>
            </w:r>
          </w:p>
        </w:tc>
        <w:tc>
          <w:tcPr>
            <w:tcW w:type="dxa" w:w="2304"/>
            <w:vAlign w:val="center"/>
            <w:shd w:fill="DDEAF2"/>
            <w:tcMar>
              <w:top w:w="85" w:type="dxa"/>
              <w:left w:w="85" w:type="dxa"/>
              <w:bottom w:w="85" w:type="dxa"/>
              <w:right w:w="85" w:type="dxa"/>
            </w:tcMar>
          </w:tcPr>
          <w:p>
            <w:pPr>
              <w:spacing w:after="60" w:before="60" w:line="240" w:lineRule="auto"/>
              <w:jc w:val="center"/>
            </w:pPr>
            <w:r>
              <w:rPr>
                <w:rFonts w:ascii="Calibri" w:hAnsi="Calibri"/>
                <w:b/>
                <w:sz w:val="19"/>
              </w:rPr>
              <w:t>PnL USD</w:t>
            </w:r>
          </w:p>
        </w:tc>
        <w:tc>
          <w:tcPr>
            <w:tcW w:type="dxa" w:w="2160"/>
            <w:vAlign w:val="center"/>
            <w:shd w:fill="DDEAF2"/>
            <w:tcMar>
              <w:top w:w="85" w:type="dxa"/>
              <w:left w:w="85" w:type="dxa"/>
              <w:bottom w:w="85" w:type="dxa"/>
              <w:right w:w="85" w:type="dxa"/>
            </w:tcMar>
          </w:tcPr>
          <w:p>
            <w:pPr>
              <w:spacing w:after="60" w:before="60" w:line="240" w:lineRule="auto"/>
              <w:jc w:val="center"/>
            </w:pPr>
            <w:r>
              <w:rPr>
                <w:rFonts w:ascii="Calibri" w:hAnsi="Calibri"/>
                <w:b/>
                <w:sz w:val="19"/>
              </w:rPr>
              <w:t>PnL su 50k</w:t>
            </w:r>
          </w:p>
        </w:tc>
      </w:tr>
      <w:tr>
        <w:trPr>
          <w:cantSplit/>
        </w:trPr>
        <w:tc>
          <w:tcPr>
            <w:tcW w:type="dxa" w:w="3456"/>
            <w:vAlign w:val="center"/>
            <w:shd w:fill="FFFFFF"/>
            <w:tcMar>
              <w:top w:w="85" w:type="dxa"/>
              <w:left w:w="85" w:type="dxa"/>
              <w:bottom w:w="85" w:type="dxa"/>
              <w:right w:w="85" w:type="dxa"/>
            </w:tcMar>
          </w:tcPr>
          <w:p>
            <w:pPr>
              <w:spacing w:after="60" w:before="60" w:line="240" w:lineRule="auto"/>
              <w:jc w:val="left"/>
            </w:pPr>
            <w:r>
              <w:rPr>
                <w:rFonts w:ascii="Calibri" w:hAnsi="Calibri"/>
                <w:b w:val="0"/>
                <w:sz w:val="19"/>
              </w:rPr>
              <w:t>TOTAL</w:t>
            </w:r>
          </w:p>
        </w:tc>
        <w:tc>
          <w:tcPr>
            <w:tcW w:type="dxa" w:w="1440"/>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3,736</w:t>
            </w:r>
          </w:p>
        </w:tc>
        <w:tc>
          <w:tcPr>
            <w:tcW w:type="dxa" w:w="2304"/>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62.213,00</w:t>
            </w:r>
          </w:p>
        </w:tc>
        <w:tc>
          <w:tcPr>
            <w:tcW w:type="dxa" w:w="2160"/>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124,43%</w:t>
            </w:r>
          </w:p>
        </w:tc>
      </w:tr>
      <w:tr>
        <w:trPr>
          <w:cantSplit/>
        </w:trPr>
        <w:tc>
          <w:tcPr>
            <w:tcW w:type="dxa" w:w="3456"/>
            <w:vAlign w:val="center"/>
            <w:shd w:fill="F6F8FA"/>
            <w:tcMar>
              <w:top w:w="85" w:type="dxa"/>
              <w:left w:w="85" w:type="dxa"/>
              <w:bottom w:w="85" w:type="dxa"/>
              <w:right w:w="85" w:type="dxa"/>
            </w:tcMar>
          </w:tcPr>
          <w:p>
            <w:pPr>
              <w:spacing w:after="60" w:before="60" w:line="240" w:lineRule="auto"/>
              <w:jc w:val="left"/>
            </w:pPr>
            <w:r>
              <w:rPr>
                <w:rFonts w:ascii="Calibri" w:hAnsi="Calibri"/>
                <w:b w:val="0"/>
                <w:sz w:val="19"/>
              </w:rPr>
              <w:t>CVD M6E</w:t>
            </w:r>
          </w:p>
        </w:tc>
        <w:tc>
          <w:tcPr>
            <w:tcW w:type="dxa" w:w="1440"/>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2,735</w:t>
            </w:r>
          </w:p>
        </w:tc>
        <w:tc>
          <w:tcPr>
            <w:tcW w:type="dxa" w:w="2304"/>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8.766,00</w:t>
            </w:r>
          </w:p>
        </w:tc>
        <w:tc>
          <w:tcPr>
            <w:tcW w:type="dxa" w:w="2160"/>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17,53%</w:t>
            </w:r>
          </w:p>
        </w:tc>
      </w:tr>
      <w:tr>
        <w:trPr>
          <w:cantSplit/>
        </w:trPr>
        <w:tc>
          <w:tcPr>
            <w:tcW w:type="dxa" w:w="3456"/>
            <w:vAlign w:val="center"/>
            <w:shd w:fill="FFFFFF"/>
            <w:tcMar>
              <w:top w:w="85" w:type="dxa"/>
              <w:left w:w="85" w:type="dxa"/>
              <w:bottom w:w="85" w:type="dxa"/>
              <w:right w:w="85" w:type="dxa"/>
            </w:tcMar>
          </w:tcPr>
          <w:p>
            <w:pPr>
              <w:spacing w:after="60" w:before="60" w:line="240" w:lineRule="auto"/>
              <w:jc w:val="left"/>
            </w:pPr>
            <w:r>
              <w:rPr>
                <w:rFonts w:ascii="Calibri" w:hAnsi="Calibri"/>
                <w:b w:val="0"/>
                <w:sz w:val="19"/>
              </w:rPr>
              <w:t>Impulso MNQ</w:t>
            </w:r>
          </w:p>
        </w:tc>
        <w:tc>
          <w:tcPr>
            <w:tcW w:type="dxa" w:w="1440"/>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1,930</w:t>
            </w:r>
          </w:p>
        </w:tc>
        <w:tc>
          <w:tcPr>
            <w:tcW w:type="dxa" w:w="2304"/>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14.895,00</w:t>
            </w:r>
          </w:p>
        </w:tc>
        <w:tc>
          <w:tcPr>
            <w:tcW w:type="dxa" w:w="2160"/>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29,79%</w:t>
            </w:r>
          </w:p>
        </w:tc>
      </w:tr>
      <w:tr>
        <w:trPr>
          <w:cantSplit/>
        </w:trPr>
        <w:tc>
          <w:tcPr>
            <w:tcW w:type="dxa" w:w="3456"/>
            <w:vAlign w:val="center"/>
            <w:shd w:fill="F6F8FA"/>
            <w:tcMar>
              <w:top w:w="85" w:type="dxa"/>
              <w:left w:w="85" w:type="dxa"/>
              <w:bottom w:w="85" w:type="dxa"/>
              <w:right w:w="85" w:type="dxa"/>
            </w:tcMar>
          </w:tcPr>
          <w:p>
            <w:pPr>
              <w:spacing w:after="60" w:before="60" w:line="240" w:lineRule="auto"/>
              <w:jc w:val="left"/>
            </w:pPr>
            <w:r>
              <w:rPr>
                <w:rFonts w:ascii="Calibri" w:hAnsi="Calibri"/>
                <w:b w:val="0"/>
                <w:sz w:val="19"/>
              </w:rPr>
              <w:t>CAD fade MCD</w:t>
            </w:r>
          </w:p>
        </w:tc>
        <w:tc>
          <w:tcPr>
            <w:tcW w:type="dxa" w:w="1440"/>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1,566</w:t>
            </w:r>
          </w:p>
        </w:tc>
        <w:tc>
          <w:tcPr>
            <w:tcW w:type="dxa" w:w="2304"/>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12.075,00</w:t>
            </w:r>
          </w:p>
        </w:tc>
        <w:tc>
          <w:tcPr>
            <w:tcW w:type="dxa" w:w="2160"/>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24,15%</w:t>
            </w:r>
          </w:p>
        </w:tc>
      </w:tr>
      <w:tr>
        <w:trPr>
          <w:cantSplit/>
        </w:trPr>
        <w:tc>
          <w:tcPr>
            <w:tcW w:type="dxa" w:w="3456"/>
            <w:vAlign w:val="center"/>
            <w:shd w:fill="FFFFFF"/>
            <w:tcMar>
              <w:top w:w="85" w:type="dxa"/>
              <w:left w:w="85" w:type="dxa"/>
              <w:bottom w:w="85" w:type="dxa"/>
              <w:right w:w="85" w:type="dxa"/>
            </w:tcMar>
          </w:tcPr>
          <w:p>
            <w:pPr>
              <w:spacing w:after="60" w:before="60" w:line="240" w:lineRule="auto"/>
              <w:jc w:val="left"/>
            </w:pPr>
            <w:r>
              <w:rPr>
                <w:rFonts w:ascii="Calibri" w:hAnsi="Calibri"/>
                <w:b w:val="0"/>
                <w:sz w:val="19"/>
              </w:rPr>
              <w:t>VXN reversal MNQ</w:t>
            </w:r>
          </w:p>
        </w:tc>
        <w:tc>
          <w:tcPr>
            <w:tcW w:type="dxa" w:w="1440"/>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1,337</w:t>
            </w:r>
          </w:p>
        </w:tc>
        <w:tc>
          <w:tcPr>
            <w:tcW w:type="dxa" w:w="2304"/>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3.467,00</w:t>
            </w:r>
          </w:p>
        </w:tc>
        <w:tc>
          <w:tcPr>
            <w:tcW w:type="dxa" w:w="2160"/>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6,93%</w:t>
            </w:r>
          </w:p>
        </w:tc>
      </w:tr>
      <w:tr>
        <w:trPr>
          <w:cantSplit/>
        </w:trPr>
        <w:tc>
          <w:tcPr>
            <w:tcW w:type="dxa" w:w="3456"/>
            <w:vAlign w:val="center"/>
            <w:shd w:fill="F6F8FA"/>
            <w:tcMar>
              <w:top w:w="85" w:type="dxa"/>
              <w:left w:w="85" w:type="dxa"/>
              <w:bottom w:w="85" w:type="dxa"/>
              <w:right w:w="85" w:type="dxa"/>
            </w:tcMar>
          </w:tcPr>
          <w:p>
            <w:pPr>
              <w:spacing w:after="60" w:before="60" w:line="240" w:lineRule="auto"/>
              <w:jc w:val="left"/>
            </w:pPr>
            <w:r>
              <w:rPr>
                <w:rFonts w:ascii="Calibri" w:hAnsi="Calibri"/>
                <w:b w:val="0"/>
                <w:sz w:val="19"/>
              </w:rPr>
              <w:t>Overnight MNQ</w:t>
            </w:r>
          </w:p>
        </w:tc>
        <w:tc>
          <w:tcPr>
            <w:tcW w:type="dxa" w:w="1440"/>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1,248</w:t>
            </w:r>
          </w:p>
        </w:tc>
        <w:tc>
          <w:tcPr>
            <w:tcW w:type="dxa" w:w="2304"/>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7.984,50</w:t>
            </w:r>
          </w:p>
        </w:tc>
        <w:tc>
          <w:tcPr>
            <w:tcW w:type="dxa" w:w="2160"/>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15,97%</w:t>
            </w:r>
          </w:p>
        </w:tc>
      </w:tr>
      <w:tr>
        <w:trPr>
          <w:cantSplit/>
        </w:trPr>
        <w:tc>
          <w:tcPr>
            <w:tcW w:type="dxa" w:w="3456"/>
            <w:vAlign w:val="center"/>
            <w:shd w:fill="FFFFFF"/>
            <w:tcMar>
              <w:top w:w="85" w:type="dxa"/>
              <w:left w:w="85" w:type="dxa"/>
              <w:bottom w:w="85" w:type="dxa"/>
              <w:right w:w="85" w:type="dxa"/>
            </w:tcMar>
          </w:tcPr>
          <w:p>
            <w:pPr>
              <w:spacing w:after="60" w:before="60" w:line="240" w:lineRule="auto"/>
              <w:jc w:val="left"/>
            </w:pPr>
            <w:r>
              <w:rPr>
                <w:rFonts w:ascii="Calibri" w:hAnsi="Calibri"/>
                <w:b w:val="0"/>
                <w:sz w:val="19"/>
              </w:rPr>
              <w:t>Vault MNQ</w:t>
            </w:r>
          </w:p>
        </w:tc>
        <w:tc>
          <w:tcPr>
            <w:tcW w:type="dxa" w:w="1440"/>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1,836</w:t>
            </w:r>
          </w:p>
        </w:tc>
        <w:tc>
          <w:tcPr>
            <w:tcW w:type="dxa" w:w="2304"/>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15.025,50</w:t>
            </w:r>
          </w:p>
        </w:tc>
        <w:tc>
          <w:tcPr>
            <w:tcW w:type="dxa" w:w="2160"/>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30,05%</w:t>
            </w:r>
          </w:p>
        </w:tc>
      </w:tr>
    </w:tbl>
    <w:p>
      <w:pPr>
        <w:spacing w:after="60"/>
      </w:pPr>
    </w:p>
    <w:p>
      <w:pPr>
        <w:pStyle w:val="Normal"/>
      </w:pPr>
      <w:r>
        <w:rPr>
          <w:b w:val="0"/>
        </w:rPr>
        <w:t>124,43% aggregato è il PnL del periodo diviso per 50.000 USD: non è un rendimento annualizzato né una crescita composta. Nel 2025 il rapporto è 65,23%; nel 2026 parziale 59,20%. Per confronti con un CV occorre mantenere periodo, costi, rischio e natura backtest accanto a questi numeri.</w:t>
      </w:r>
    </w:p>
    <w:p>
      <w:pPr>
        <w:pStyle w:val="Heading1"/>
      </w:pPr>
      <w:r>
        <w:t>16 Risultati separati per anno</w:t>
      </w:r>
    </w:p>
    <w:p>
      <w:pPr>
        <w:pStyle w:val="Normal"/>
      </w:pPr>
      <w:r>
        <w:rPr>
          <w:b w:val="0"/>
        </w:rPr>
        <w:t>Il confronto annuale non ricostruisce una nuova selezione dei parametri. È una segmentazione del ledger corrente. La copertura 2026 finisce il 2 settembre e per più moduli prima di tale giorno. Il VXN di trading inizia dal primo fold di luglio 2025; non era presente per tutto il primo semestre. [S1]</w:t>
      </w:r>
    </w:p>
    <w:p>
      <w:pPr>
        <w:pStyle w:val="Heading2"/>
      </w:pPr>
      <w:r>
        <w:t>2025 risultati per modulo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864"/>
        <w:gridCol w:w="1152"/>
        <w:gridCol w:w="1008"/>
        <w:gridCol w:w="1584"/>
        <w:gridCol w:w="1872"/>
      </w:tblGrid>
      <w:tr>
        <w:trPr>
          <w:cantSplit/>
          <w:tblHeader/>
        </w:trPr>
        <w:tc>
          <w:tcPr>
            <w:tcW w:type="dxa" w:w="2880"/>
            <w:vAlign w:val="center"/>
            <w:shd w:fill="DDEAF2"/>
            <w:tcMar>
              <w:top w:w="85" w:type="dxa"/>
              <w:left w:w="85" w:type="dxa"/>
              <w:bottom w:w="85" w:type="dxa"/>
              <w:right w:w="85" w:type="dxa"/>
            </w:tcMar>
          </w:tcPr>
          <w:p>
            <w:pPr>
              <w:spacing w:after="60" w:before="60" w:line="240" w:lineRule="auto"/>
              <w:jc w:val="left"/>
            </w:pPr>
            <w:r>
              <w:rPr>
                <w:rFonts w:ascii="Calibri" w:hAnsi="Calibri"/>
                <w:b/>
                <w:sz w:val="19"/>
              </w:rPr>
              <w:t>Strategia</w:t>
            </w:r>
          </w:p>
        </w:tc>
        <w:tc>
          <w:tcPr>
            <w:tcW w:type="dxa" w:w="864"/>
            <w:vAlign w:val="center"/>
            <w:shd w:fill="DDEAF2"/>
            <w:tcMar>
              <w:top w:w="85" w:type="dxa"/>
              <w:left w:w="85" w:type="dxa"/>
              <w:bottom w:w="85" w:type="dxa"/>
              <w:right w:w="85" w:type="dxa"/>
            </w:tcMar>
          </w:tcPr>
          <w:p>
            <w:pPr>
              <w:spacing w:after="60" w:before="60" w:line="240" w:lineRule="auto"/>
              <w:jc w:val="center"/>
            </w:pPr>
            <w:r>
              <w:rPr>
                <w:rFonts w:ascii="Calibri" w:hAnsi="Calibri"/>
                <w:b/>
                <w:sz w:val="19"/>
              </w:rPr>
              <w:t>Trade</w:t>
            </w:r>
          </w:p>
        </w:tc>
        <w:tc>
          <w:tcPr>
            <w:tcW w:type="dxa" w:w="1152"/>
            <w:vAlign w:val="center"/>
            <w:shd w:fill="DDEAF2"/>
            <w:tcMar>
              <w:top w:w="85" w:type="dxa"/>
              <w:left w:w="85" w:type="dxa"/>
              <w:bottom w:w="85" w:type="dxa"/>
              <w:right w:w="85" w:type="dxa"/>
            </w:tcMar>
          </w:tcPr>
          <w:p>
            <w:pPr>
              <w:spacing w:after="60" w:before="60" w:line="240" w:lineRule="auto"/>
              <w:jc w:val="center"/>
            </w:pPr>
            <w:r>
              <w:rPr>
                <w:rFonts w:ascii="Calibri" w:hAnsi="Calibri"/>
                <w:b/>
                <w:sz w:val="19"/>
              </w:rPr>
              <w:t>WR</w:t>
            </w:r>
          </w:p>
        </w:tc>
        <w:tc>
          <w:tcPr>
            <w:tcW w:type="dxa" w:w="1008"/>
            <w:vAlign w:val="center"/>
            <w:shd w:fill="DDEAF2"/>
            <w:tcMar>
              <w:top w:w="85" w:type="dxa"/>
              <w:left w:w="85" w:type="dxa"/>
              <w:bottom w:w="85" w:type="dxa"/>
              <w:right w:w="85" w:type="dxa"/>
            </w:tcMar>
          </w:tcPr>
          <w:p>
            <w:pPr>
              <w:spacing w:after="60" w:before="60" w:line="240" w:lineRule="auto"/>
              <w:jc w:val="center"/>
            </w:pPr>
            <w:r>
              <w:rPr>
                <w:rFonts w:ascii="Calibri" w:hAnsi="Calibri"/>
                <w:b/>
                <w:sz w:val="19"/>
              </w:rPr>
              <w:t>PF</w:t>
            </w:r>
          </w:p>
        </w:tc>
        <w:tc>
          <w:tcPr>
            <w:tcW w:type="dxa" w:w="1584"/>
            <w:vAlign w:val="center"/>
            <w:shd w:fill="DDEAF2"/>
            <w:tcMar>
              <w:top w:w="85" w:type="dxa"/>
              <w:left w:w="85" w:type="dxa"/>
              <w:bottom w:w="85" w:type="dxa"/>
              <w:right w:w="85" w:type="dxa"/>
            </w:tcMar>
          </w:tcPr>
          <w:p>
            <w:pPr>
              <w:spacing w:after="60" w:before="60" w:line="240" w:lineRule="auto"/>
              <w:jc w:val="center"/>
            </w:pPr>
            <w:r>
              <w:rPr>
                <w:rFonts w:ascii="Calibri" w:hAnsi="Calibri"/>
                <w:b/>
                <w:sz w:val="19"/>
              </w:rPr>
              <w:t>Exp USD</w:t>
            </w:r>
          </w:p>
        </w:tc>
        <w:tc>
          <w:tcPr>
            <w:tcW w:type="dxa" w:w="1872"/>
            <w:vAlign w:val="center"/>
            <w:shd w:fill="DDEAF2"/>
            <w:tcMar>
              <w:top w:w="85" w:type="dxa"/>
              <w:left w:w="85" w:type="dxa"/>
              <w:bottom w:w="85" w:type="dxa"/>
              <w:right w:w="85" w:type="dxa"/>
            </w:tcMar>
          </w:tcPr>
          <w:p>
            <w:pPr>
              <w:spacing w:after="60" w:before="60" w:line="240" w:lineRule="auto"/>
              <w:jc w:val="center"/>
            </w:pPr>
            <w:r>
              <w:rPr>
                <w:rFonts w:ascii="Calibri" w:hAnsi="Calibri"/>
                <w:b/>
                <w:sz w:val="19"/>
              </w:rPr>
              <w:t>DD USD</w:t>
            </w:r>
          </w:p>
        </w:tc>
      </w:tr>
      <w:tr>
        <w:trPr>
          <w:cantSplit/>
        </w:trPr>
        <w:tc>
          <w:tcPr>
            <w:tcW w:type="dxa" w:w="2880"/>
            <w:vAlign w:val="center"/>
            <w:shd w:fill="FFFFFF"/>
            <w:tcMar>
              <w:top w:w="85" w:type="dxa"/>
              <w:left w:w="85" w:type="dxa"/>
              <w:bottom w:w="85" w:type="dxa"/>
              <w:right w:w="85" w:type="dxa"/>
            </w:tcMar>
          </w:tcPr>
          <w:p>
            <w:pPr>
              <w:spacing w:after="60" w:before="60" w:line="240" w:lineRule="auto"/>
              <w:jc w:val="left"/>
            </w:pPr>
            <w:r>
              <w:rPr>
                <w:rFonts w:ascii="Calibri" w:hAnsi="Calibri"/>
                <w:b w:val="0"/>
                <w:sz w:val="19"/>
              </w:rPr>
              <w:t>CVD M6E</w:t>
            </w:r>
          </w:p>
        </w:tc>
        <w:tc>
          <w:tcPr>
            <w:tcW w:type="dxa" w:w="864"/>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161</w:t>
            </w:r>
          </w:p>
        </w:tc>
        <w:tc>
          <w:tcPr>
            <w:tcW w:type="dxa" w:w="1152"/>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90,68%</w:t>
            </w:r>
          </w:p>
        </w:tc>
        <w:tc>
          <w:tcPr>
            <w:tcW w:type="dxa" w:w="1008"/>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2,95</w:t>
            </w:r>
          </w:p>
        </w:tc>
        <w:tc>
          <w:tcPr>
            <w:tcW w:type="dxa" w:w="1584"/>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41,87</w:t>
            </w:r>
          </w:p>
        </w:tc>
        <w:tc>
          <w:tcPr>
            <w:tcW w:type="dxa" w:w="1872"/>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462,00</w:t>
            </w:r>
          </w:p>
        </w:tc>
      </w:tr>
      <w:tr>
        <w:trPr>
          <w:cantSplit/>
        </w:trPr>
        <w:tc>
          <w:tcPr>
            <w:tcW w:type="dxa" w:w="2880"/>
            <w:vAlign w:val="center"/>
            <w:shd w:fill="F6F8FA"/>
            <w:tcMar>
              <w:top w:w="85" w:type="dxa"/>
              <w:left w:w="85" w:type="dxa"/>
              <w:bottom w:w="85" w:type="dxa"/>
              <w:right w:w="85" w:type="dxa"/>
            </w:tcMar>
          </w:tcPr>
          <w:p>
            <w:pPr>
              <w:spacing w:after="60" w:before="60" w:line="240" w:lineRule="auto"/>
              <w:jc w:val="left"/>
            </w:pPr>
            <w:r>
              <w:rPr>
                <w:rFonts w:ascii="Calibri" w:hAnsi="Calibri"/>
                <w:b w:val="0"/>
                <w:sz w:val="19"/>
              </w:rPr>
              <w:t>Impulso MNQ</w:t>
            </w:r>
          </w:p>
        </w:tc>
        <w:tc>
          <w:tcPr>
            <w:tcW w:type="dxa" w:w="864"/>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211</w:t>
            </w:r>
          </w:p>
        </w:tc>
        <w:tc>
          <w:tcPr>
            <w:tcW w:type="dxa" w:w="1152"/>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75,36%</w:t>
            </w:r>
          </w:p>
        </w:tc>
        <w:tc>
          <w:tcPr>
            <w:tcW w:type="dxa" w:w="1008"/>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1,31</w:t>
            </w:r>
          </w:p>
        </w:tc>
        <w:tc>
          <w:tcPr>
            <w:tcW w:type="dxa" w:w="1584"/>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37,24</w:t>
            </w:r>
          </w:p>
        </w:tc>
        <w:tc>
          <w:tcPr>
            <w:tcW w:type="dxa" w:w="1872"/>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2.991,00</w:t>
            </w:r>
          </w:p>
        </w:tc>
      </w:tr>
      <w:tr>
        <w:trPr>
          <w:cantSplit/>
        </w:trPr>
        <w:tc>
          <w:tcPr>
            <w:tcW w:type="dxa" w:w="2880"/>
            <w:vAlign w:val="center"/>
            <w:shd w:fill="FFFFFF"/>
            <w:tcMar>
              <w:top w:w="85" w:type="dxa"/>
              <w:left w:w="85" w:type="dxa"/>
              <w:bottom w:w="85" w:type="dxa"/>
              <w:right w:w="85" w:type="dxa"/>
            </w:tcMar>
          </w:tcPr>
          <w:p>
            <w:pPr>
              <w:spacing w:after="60" w:before="60" w:line="240" w:lineRule="auto"/>
              <w:jc w:val="left"/>
            </w:pPr>
            <w:r>
              <w:rPr>
                <w:rFonts w:ascii="Calibri" w:hAnsi="Calibri"/>
                <w:b w:val="0"/>
                <w:sz w:val="19"/>
              </w:rPr>
              <w:t>CAD fade MCD</w:t>
            </w:r>
          </w:p>
        </w:tc>
        <w:tc>
          <w:tcPr>
            <w:tcW w:type="dxa" w:w="864"/>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104</w:t>
            </w:r>
          </w:p>
        </w:tc>
        <w:tc>
          <w:tcPr>
            <w:tcW w:type="dxa" w:w="1152"/>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55,77%</w:t>
            </w:r>
          </w:p>
        </w:tc>
        <w:tc>
          <w:tcPr>
            <w:tcW w:type="dxa" w:w="1008"/>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1,28</w:t>
            </w:r>
          </w:p>
        </w:tc>
        <w:tc>
          <w:tcPr>
            <w:tcW w:type="dxa" w:w="1584"/>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49,04</w:t>
            </w:r>
          </w:p>
        </w:tc>
        <w:tc>
          <w:tcPr>
            <w:tcW w:type="dxa" w:w="1872"/>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2.976,00</w:t>
            </w:r>
          </w:p>
        </w:tc>
      </w:tr>
      <w:tr>
        <w:trPr>
          <w:cantSplit/>
        </w:trPr>
        <w:tc>
          <w:tcPr>
            <w:tcW w:type="dxa" w:w="2880"/>
            <w:vAlign w:val="center"/>
            <w:shd w:fill="F6F8FA"/>
            <w:tcMar>
              <w:top w:w="85" w:type="dxa"/>
              <w:left w:w="85" w:type="dxa"/>
              <w:bottom w:w="85" w:type="dxa"/>
              <w:right w:w="85" w:type="dxa"/>
            </w:tcMar>
          </w:tcPr>
          <w:p>
            <w:pPr>
              <w:spacing w:after="60" w:before="60" w:line="240" w:lineRule="auto"/>
              <w:jc w:val="left"/>
            </w:pPr>
            <w:r>
              <w:rPr>
                <w:rFonts w:ascii="Calibri" w:hAnsi="Calibri"/>
                <w:b w:val="0"/>
                <w:sz w:val="19"/>
              </w:rPr>
              <w:t>VXN reversal MNQ</w:t>
            </w:r>
          </w:p>
        </w:tc>
        <w:tc>
          <w:tcPr>
            <w:tcW w:type="dxa" w:w="864"/>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28</w:t>
            </w:r>
          </w:p>
        </w:tc>
        <w:tc>
          <w:tcPr>
            <w:tcW w:type="dxa" w:w="1152"/>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64,29%</w:t>
            </w:r>
          </w:p>
        </w:tc>
        <w:tc>
          <w:tcPr>
            <w:tcW w:type="dxa" w:w="1008"/>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1,23</w:t>
            </w:r>
          </w:p>
        </w:tc>
        <w:tc>
          <w:tcPr>
            <w:tcW w:type="dxa" w:w="1584"/>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31,25</w:t>
            </w:r>
          </w:p>
        </w:tc>
        <w:tc>
          <w:tcPr>
            <w:tcW w:type="dxa" w:w="1872"/>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962,00</w:t>
            </w:r>
          </w:p>
        </w:tc>
      </w:tr>
      <w:tr>
        <w:trPr>
          <w:cantSplit/>
        </w:trPr>
        <w:tc>
          <w:tcPr>
            <w:tcW w:type="dxa" w:w="2880"/>
            <w:vAlign w:val="center"/>
            <w:shd w:fill="FFFFFF"/>
            <w:tcMar>
              <w:top w:w="85" w:type="dxa"/>
              <w:left w:w="85" w:type="dxa"/>
              <w:bottom w:w="85" w:type="dxa"/>
              <w:right w:w="85" w:type="dxa"/>
            </w:tcMar>
          </w:tcPr>
          <w:p>
            <w:pPr>
              <w:spacing w:after="60" w:before="60" w:line="240" w:lineRule="auto"/>
              <w:jc w:val="left"/>
            </w:pPr>
            <w:r>
              <w:rPr>
                <w:rFonts w:ascii="Calibri" w:hAnsi="Calibri"/>
                <w:b w:val="0"/>
                <w:sz w:val="19"/>
              </w:rPr>
              <w:t>Overnight MNQ</w:t>
            </w:r>
          </w:p>
        </w:tc>
        <w:tc>
          <w:tcPr>
            <w:tcW w:type="dxa" w:w="864"/>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94</w:t>
            </w:r>
          </w:p>
        </w:tc>
        <w:tc>
          <w:tcPr>
            <w:tcW w:type="dxa" w:w="1152"/>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53,19%</w:t>
            </w:r>
          </w:p>
        </w:tc>
        <w:tc>
          <w:tcPr>
            <w:tcW w:type="dxa" w:w="1008"/>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1,21</w:t>
            </w:r>
          </w:p>
        </w:tc>
        <w:tc>
          <w:tcPr>
            <w:tcW w:type="dxa" w:w="1584"/>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28,09</w:t>
            </w:r>
          </w:p>
        </w:tc>
        <w:tc>
          <w:tcPr>
            <w:tcW w:type="dxa" w:w="1872"/>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1.525,50</w:t>
            </w:r>
          </w:p>
        </w:tc>
      </w:tr>
      <w:tr>
        <w:trPr>
          <w:cantSplit/>
        </w:trPr>
        <w:tc>
          <w:tcPr>
            <w:tcW w:type="dxa" w:w="2880"/>
            <w:vAlign w:val="center"/>
            <w:shd w:fill="F6F8FA"/>
            <w:tcMar>
              <w:top w:w="85" w:type="dxa"/>
              <w:left w:w="85" w:type="dxa"/>
              <w:bottom w:w="85" w:type="dxa"/>
              <w:right w:w="85" w:type="dxa"/>
            </w:tcMar>
          </w:tcPr>
          <w:p>
            <w:pPr>
              <w:spacing w:after="60" w:before="60" w:line="240" w:lineRule="auto"/>
              <w:jc w:val="left"/>
            </w:pPr>
            <w:r>
              <w:rPr>
                <w:rFonts w:ascii="Calibri" w:hAnsi="Calibri"/>
                <w:b w:val="0"/>
                <w:sz w:val="19"/>
              </w:rPr>
              <w:t>Vault MNQ</w:t>
            </w:r>
          </w:p>
        </w:tc>
        <w:tc>
          <w:tcPr>
            <w:tcW w:type="dxa" w:w="864"/>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224</w:t>
            </w:r>
          </w:p>
        </w:tc>
        <w:tc>
          <w:tcPr>
            <w:tcW w:type="dxa" w:w="1152"/>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67,86%</w:t>
            </w:r>
          </w:p>
        </w:tc>
        <w:tc>
          <w:tcPr>
            <w:tcW w:type="dxa" w:w="1008"/>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1,39</w:t>
            </w:r>
          </w:p>
        </w:tc>
        <w:tc>
          <w:tcPr>
            <w:tcW w:type="dxa" w:w="1584"/>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41,96</w:t>
            </w:r>
          </w:p>
        </w:tc>
        <w:tc>
          <w:tcPr>
            <w:tcW w:type="dxa" w:w="1872"/>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2.512,50</w:t>
            </w:r>
          </w:p>
        </w:tc>
      </w:tr>
    </w:tbl>
    <w:p>
      <w:pPr>
        <w:spacing w:after="60"/>
      </w:pPr>
    </w:p>
    <w:p>
      <w:pPr>
        <w:pStyle w:val="Normal"/>
      </w:pPr>
      <w:r>
        <w:rPr>
          <w:b w:val="0"/>
        </w:rPr>
        <w:t>Totale 2025: 822 righe, PnL 32.613,00 USD, PF 1,372, WR 70,92%, DD nel sottoperiodo 4.204,50 USD.</w:t>
      </w:r>
    </w:p>
    <w:p>
      <w:pPr>
        <w:pStyle w:val="Heading2"/>
      </w:pPr>
      <w:r>
        <w:t>2026 risultati per modulo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864"/>
        <w:gridCol w:w="1152"/>
        <w:gridCol w:w="1008"/>
        <w:gridCol w:w="1584"/>
        <w:gridCol w:w="1872"/>
      </w:tblGrid>
      <w:tr>
        <w:trPr>
          <w:cantSplit/>
          <w:tblHeader/>
        </w:trPr>
        <w:tc>
          <w:tcPr>
            <w:tcW w:type="dxa" w:w="2880"/>
            <w:vAlign w:val="center"/>
            <w:shd w:fill="DDEAF2"/>
            <w:tcMar>
              <w:top w:w="85" w:type="dxa"/>
              <w:left w:w="85" w:type="dxa"/>
              <w:bottom w:w="85" w:type="dxa"/>
              <w:right w:w="85" w:type="dxa"/>
            </w:tcMar>
          </w:tcPr>
          <w:p>
            <w:pPr>
              <w:spacing w:after="60" w:before="60" w:line="240" w:lineRule="auto"/>
              <w:jc w:val="left"/>
            </w:pPr>
            <w:r>
              <w:rPr>
                <w:rFonts w:ascii="Calibri" w:hAnsi="Calibri"/>
                <w:b/>
                <w:sz w:val="19"/>
              </w:rPr>
              <w:t>Strategia</w:t>
            </w:r>
          </w:p>
        </w:tc>
        <w:tc>
          <w:tcPr>
            <w:tcW w:type="dxa" w:w="864"/>
            <w:vAlign w:val="center"/>
            <w:shd w:fill="DDEAF2"/>
            <w:tcMar>
              <w:top w:w="85" w:type="dxa"/>
              <w:left w:w="85" w:type="dxa"/>
              <w:bottom w:w="85" w:type="dxa"/>
              <w:right w:w="85" w:type="dxa"/>
            </w:tcMar>
          </w:tcPr>
          <w:p>
            <w:pPr>
              <w:spacing w:after="60" w:before="60" w:line="240" w:lineRule="auto"/>
              <w:jc w:val="center"/>
            </w:pPr>
            <w:r>
              <w:rPr>
                <w:rFonts w:ascii="Calibri" w:hAnsi="Calibri"/>
                <w:b/>
                <w:sz w:val="19"/>
              </w:rPr>
              <w:t>Trade</w:t>
            </w:r>
          </w:p>
        </w:tc>
        <w:tc>
          <w:tcPr>
            <w:tcW w:type="dxa" w:w="1152"/>
            <w:vAlign w:val="center"/>
            <w:shd w:fill="DDEAF2"/>
            <w:tcMar>
              <w:top w:w="85" w:type="dxa"/>
              <w:left w:w="85" w:type="dxa"/>
              <w:bottom w:w="85" w:type="dxa"/>
              <w:right w:w="85" w:type="dxa"/>
            </w:tcMar>
          </w:tcPr>
          <w:p>
            <w:pPr>
              <w:spacing w:after="60" w:before="60" w:line="240" w:lineRule="auto"/>
              <w:jc w:val="center"/>
            </w:pPr>
            <w:r>
              <w:rPr>
                <w:rFonts w:ascii="Calibri" w:hAnsi="Calibri"/>
                <w:b/>
                <w:sz w:val="19"/>
              </w:rPr>
              <w:t>WR</w:t>
            </w:r>
          </w:p>
        </w:tc>
        <w:tc>
          <w:tcPr>
            <w:tcW w:type="dxa" w:w="1008"/>
            <w:vAlign w:val="center"/>
            <w:shd w:fill="DDEAF2"/>
            <w:tcMar>
              <w:top w:w="85" w:type="dxa"/>
              <w:left w:w="85" w:type="dxa"/>
              <w:bottom w:w="85" w:type="dxa"/>
              <w:right w:w="85" w:type="dxa"/>
            </w:tcMar>
          </w:tcPr>
          <w:p>
            <w:pPr>
              <w:spacing w:after="60" w:before="60" w:line="240" w:lineRule="auto"/>
              <w:jc w:val="center"/>
            </w:pPr>
            <w:r>
              <w:rPr>
                <w:rFonts w:ascii="Calibri" w:hAnsi="Calibri"/>
                <w:b/>
                <w:sz w:val="19"/>
              </w:rPr>
              <w:t>PF</w:t>
            </w:r>
          </w:p>
        </w:tc>
        <w:tc>
          <w:tcPr>
            <w:tcW w:type="dxa" w:w="1584"/>
            <w:vAlign w:val="center"/>
            <w:shd w:fill="DDEAF2"/>
            <w:tcMar>
              <w:top w:w="85" w:type="dxa"/>
              <w:left w:w="85" w:type="dxa"/>
              <w:bottom w:w="85" w:type="dxa"/>
              <w:right w:w="85" w:type="dxa"/>
            </w:tcMar>
          </w:tcPr>
          <w:p>
            <w:pPr>
              <w:spacing w:after="60" w:before="60" w:line="240" w:lineRule="auto"/>
              <w:jc w:val="center"/>
            </w:pPr>
            <w:r>
              <w:rPr>
                <w:rFonts w:ascii="Calibri" w:hAnsi="Calibri"/>
                <w:b/>
                <w:sz w:val="19"/>
              </w:rPr>
              <w:t>Exp USD</w:t>
            </w:r>
          </w:p>
        </w:tc>
        <w:tc>
          <w:tcPr>
            <w:tcW w:type="dxa" w:w="1872"/>
            <w:vAlign w:val="center"/>
            <w:shd w:fill="DDEAF2"/>
            <w:tcMar>
              <w:top w:w="85" w:type="dxa"/>
              <w:left w:w="85" w:type="dxa"/>
              <w:bottom w:w="85" w:type="dxa"/>
              <w:right w:w="85" w:type="dxa"/>
            </w:tcMar>
          </w:tcPr>
          <w:p>
            <w:pPr>
              <w:spacing w:after="60" w:before="60" w:line="240" w:lineRule="auto"/>
              <w:jc w:val="center"/>
            </w:pPr>
            <w:r>
              <w:rPr>
                <w:rFonts w:ascii="Calibri" w:hAnsi="Calibri"/>
                <w:b/>
                <w:sz w:val="19"/>
              </w:rPr>
              <w:t>DD USD</w:t>
            </w:r>
          </w:p>
        </w:tc>
      </w:tr>
      <w:tr>
        <w:trPr>
          <w:cantSplit/>
        </w:trPr>
        <w:tc>
          <w:tcPr>
            <w:tcW w:type="dxa" w:w="2880"/>
            <w:vAlign w:val="center"/>
            <w:shd w:fill="FFFFFF"/>
            <w:tcMar>
              <w:top w:w="85" w:type="dxa"/>
              <w:left w:w="85" w:type="dxa"/>
              <w:bottom w:w="85" w:type="dxa"/>
              <w:right w:w="85" w:type="dxa"/>
            </w:tcMar>
          </w:tcPr>
          <w:p>
            <w:pPr>
              <w:spacing w:after="60" w:before="60" w:line="240" w:lineRule="auto"/>
              <w:jc w:val="left"/>
            </w:pPr>
            <w:r>
              <w:rPr>
                <w:rFonts w:ascii="Calibri" w:hAnsi="Calibri"/>
                <w:b w:val="0"/>
                <w:sz w:val="19"/>
              </w:rPr>
              <w:t>CVD M6E</w:t>
            </w:r>
          </w:p>
        </w:tc>
        <w:tc>
          <w:tcPr>
            <w:tcW w:type="dxa" w:w="864"/>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177</w:t>
            </w:r>
          </w:p>
        </w:tc>
        <w:tc>
          <w:tcPr>
            <w:tcW w:type="dxa" w:w="1152"/>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80,79%</w:t>
            </w:r>
          </w:p>
        </w:tc>
        <w:tc>
          <w:tcPr>
            <w:tcW w:type="dxa" w:w="1008"/>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1,26</w:t>
            </w:r>
          </w:p>
        </w:tc>
        <w:tc>
          <w:tcPr>
            <w:tcW w:type="dxa" w:w="1584"/>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11,44</w:t>
            </w:r>
          </w:p>
        </w:tc>
        <w:tc>
          <w:tcPr>
            <w:tcW w:type="dxa" w:w="1872"/>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1.248,00</w:t>
            </w:r>
          </w:p>
        </w:tc>
      </w:tr>
      <w:tr>
        <w:trPr>
          <w:cantSplit/>
        </w:trPr>
        <w:tc>
          <w:tcPr>
            <w:tcW w:type="dxa" w:w="2880"/>
            <w:vAlign w:val="center"/>
            <w:shd w:fill="F6F8FA"/>
            <w:tcMar>
              <w:top w:w="85" w:type="dxa"/>
              <w:left w:w="85" w:type="dxa"/>
              <w:bottom w:w="85" w:type="dxa"/>
              <w:right w:w="85" w:type="dxa"/>
            </w:tcMar>
          </w:tcPr>
          <w:p>
            <w:pPr>
              <w:spacing w:after="60" w:before="60" w:line="240" w:lineRule="auto"/>
              <w:jc w:val="left"/>
            </w:pPr>
            <w:r>
              <w:rPr>
                <w:rFonts w:ascii="Calibri" w:hAnsi="Calibri"/>
                <w:b w:val="0"/>
                <w:sz w:val="19"/>
              </w:rPr>
              <w:t>Impulso MNQ</w:t>
            </w:r>
          </w:p>
        </w:tc>
        <w:tc>
          <w:tcPr>
            <w:tcW w:type="dxa" w:w="864"/>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200</w:t>
            </w:r>
          </w:p>
        </w:tc>
        <w:tc>
          <w:tcPr>
            <w:tcW w:type="dxa" w:w="1152"/>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72,00%</w:t>
            </w:r>
          </w:p>
        </w:tc>
        <w:tc>
          <w:tcPr>
            <w:tcW w:type="dxa" w:w="1008"/>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1,26</w:t>
            </w:r>
          </w:p>
        </w:tc>
        <w:tc>
          <w:tcPr>
            <w:tcW w:type="dxa" w:w="1584"/>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35,19</w:t>
            </w:r>
          </w:p>
        </w:tc>
        <w:tc>
          <w:tcPr>
            <w:tcW w:type="dxa" w:w="1872"/>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4.001,00</w:t>
            </w:r>
          </w:p>
        </w:tc>
      </w:tr>
      <w:tr>
        <w:trPr>
          <w:cantSplit/>
        </w:trPr>
        <w:tc>
          <w:tcPr>
            <w:tcW w:type="dxa" w:w="2880"/>
            <w:vAlign w:val="center"/>
            <w:shd w:fill="FFFFFF"/>
            <w:tcMar>
              <w:top w:w="85" w:type="dxa"/>
              <w:left w:w="85" w:type="dxa"/>
              <w:bottom w:w="85" w:type="dxa"/>
              <w:right w:w="85" w:type="dxa"/>
            </w:tcMar>
          </w:tcPr>
          <w:p>
            <w:pPr>
              <w:spacing w:after="60" w:before="60" w:line="240" w:lineRule="auto"/>
              <w:jc w:val="left"/>
            </w:pPr>
            <w:r>
              <w:rPr>
                <w:rFonts w:ascii="Calibri" w:hAnsi="Calibri"/>
                <w:b w:val="0"/>
                <w:sz w:val="19"/>
              </w:rPr>
              <w:t>CAD fade MCD</w:t>
            </w:r>
          </w:p>
        </w:tc>
        <w:tc>
          <w:tcPr>
            <w:tcW w:type="dxa" w:w="864"/>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67</w:t>
            </w:r>
          </w:p>
        </w:tc>
        <w:tc>
          <w:tcPr>
            <w:tcW w:type="dxa" w:w="1152"/>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64,18%</w:t>
            </w:r>
          </w:p>
        </w:tc>
        <w:tc>
          <w:tcPr>
            <w:tcW w:type="dxa" w:w="1008"/>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1,66</w:t>
            </w:r>
          </w:p>
        </w:tc>
        <w:tc>
          <w:tcPr>
            <w:tcW w:type="dxa" w:w="1584"/>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104,10</w:t>
            </w:r>
          </w:p>
        </w:tc>
        <w:tc>
          <w:tcPr>
            <w:tcW w:type="dxa" w:w="1872"/>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1.536,00</w:t>
            </w:r>
          </w:p>
        </w:tc>
      </w:tr>
      <w:tr>
        <w:trPr>
          <w:cantSplit/>
        </w:trPr>
        <w:tc>
          <w:tcPr>
            <w:tcW w:type="dxa" w:w="2880"/>
            <w:vAlign w:val="center"/>
            <w:shd w:fill="F6F8FA"/>
            <w:tcMar>
              <w:top w:w="85" w:type="dxa"/>
              <w:left w:w="85" w:type="dxa"/>
              <w:bottom w:w="85" w:type="dxa"/>
              <w:right w:w="85" w:type="dxa"/>
            </w:tcMar>
          </w:tcPr>
          <w:p>
            <w:pPr>
              <w:spacing w:after="60" w:before="60" w:line="240" w:lineRule="auto"/>
              <w:jc w:val="left"/>
            </w:pPr>
            <w:r>
              <w:rPr>
                <w:rFonts w:ascii="Calibri" w:hAnsi="Calibri"/>
                <w:b w:val="0"/>
                <w:sz w:val="19"/>
              </w:rPr>
              <w:t>VXN reversal MNQ</w:t>
            </w:r>
          </w:p>
        </w:tc>
        <w:tc>
          <w:tcPr>
            <w:tcW w:type="dxa" w:w="864"/>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32</w:t>
            </w:r>
          </w:p>
        </w:tc>
        <w:tc>
          <w:tcPr>
            <w:tcW w:type="dxa" w:w="1152"/>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78,12%</w:t>
            </w:r>
          </w:p>
        </w:tc>
        <w:tc>
          <w:tcPr>
            <w:tcW w:type="dxa" w:w="1008"/>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1,78</w:t>
            </w:r>
          </w:p>
        </w:tc>
        <w:tc>
          <w:tcPr>
            <w:tcW w:type="dxa" w:w="1584"/>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81,00</w:t>
            </w:r>
          </w:p>
        </w:tc>
        <w:tc>
          <w:tcPr>
            <w:tcW w:type="dxa" w:w="1872"/>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747,00</w:t>
            </w:r>
          </w:p>
        </w:tc>
      </w:tr>
      <w:tr>
        <w:trPr>
          <w:cantSplit/>
        </w:trPr>
        <w:tc>
          <w:tcPr>
            <w:tcW w:type="dxa" w:w="2880"/>
            <w:vAlign w:val="center"/>
            <w:shd w:fill="FFFFFF"/>
            <w:tcMar>
              <w:top w:w="85" w:type="dxa"/>
              <w:left w:w="85" w:type="dxa"/>
              <w:bottom w:w="85" w:type="dxa"/>
              <w:right w:w="85" w:type="dxa"/>
            </w:tcMar>
          </w:tcPr>
          <w:p>
            <w:pPr>
              <w:spacing w:after="60" w:before="60" w:line="240" w:lineRule="auto"/>
              <w:jc w:val="left"/>
            </w:pPr>
            <w:r>
              <w:rPr>
                <w:rFonts w:ascii="Calibri" w:hAnsi="Calibri"/>
                <w:b w:val="0"/>
                <w:sz w:val="19"/>
              </w:rPr>
              <w:t>Overnight MNQ</w:t>
            </w:r>
          </w:p>
        </w:tc>
        <w:tc>
          <w:tcPr>
            <w:tcW w:type="dxa" w:w="864"/>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65</w:t>
            </w:r>
          </w:p>
        </w:tc>
        <w:tc>
          <w:tcPr>
            <w:tcW w:type="dxa" w:w="1152"/>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55,38%</w:t>
            </w:r>
          </w:p>
        </w:tc>
        <w:tc>
          <w:tcPr>
            <w:tcW w:type="dxa" w:w="1008"/>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1,77</w:t>
            </w:r>
          </w:p>
        </w:tc>
        <w:tc>
          <w:tcPr>
            <w:tcW w:type="dxa" w:w="1584"/>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82,22</w:t>
            </w:r>
          </w:p>
        </w:tc>
        <w:tc>
          <w:tcPr>
            <w:tcW w:type="dxa" w:w="1872"/>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1.377,00</w:t>
            </w:r>
          </w:p>
        </w:tc>
      </w:tr>
      <w:tr>
        <w:trPr>
          <w:cantSplit/>
        </w:trPr>
        <w:tc>
          <w:tcPr>
            <w:tcW w:type="dxa" w:w="2880"/>
            <w:vAlign w:val="center"/>
            <w:shd w:fill="F6F8FA"/>
            <w:tcMar>
              <w:top w:w="85" w:type="dxa"/>
              <w:left w:w="85" w:type="dxa"/>
              <w:bottom w:w="85" w:type="dxa"/>
              <w:right w:w="85" w:type="dxa"/>
            </w:tcMar>
          </w:tcPr>
          <w:p>
            <w:pPr>
              <w:spacing w:after="60" w:before="60" w:line="240" w:lineRule="auto"/>
              <w:jc w:val="left"/>
            </w:pPr>
            <w:r>
              <w:rPr>
                <w:rFonts w:ascii="Calibri" w:hAnsi="Calibri"/>
                <w:b w:val="0"/>
                <w:sz w:val="19"/>
              </w:rPr>
              <w:t>Vault MNQ</w:t>
            </w:r>
          </w:p>
        </w:tc>
        <w:tc>
          <w:tcPr>
            <w:tcW w:type="dxa" w:w="864"/>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186</w:t>
            </w:r>
          </w:p>
        </w:tc>
        <w:tc>
          <w:tcPr>
            <w:tcW w:type="dxa" w:w="1152"/>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67,74%</w:t>
            </w:r>
          </w:p>
        </w:tc>
        <w:tc>
          <w:tcPr>
            <w:tcW w:type="dxa" w:w="1008"/>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1,24</w:t>
            </w:r>
          </w:p>
        </w:tc>
        <w:tc>
          <w:tcPr>
            <w:tcW w:type="dxa" w:w="1584"/>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30,25</w:t>
            </w:r>
          </w:p>
        </w:tc>
        <w:tc>
          <w:tcPr>
            <w:tcW w:type="dxa" w:w="1872"/>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3.214,50</w:t>
            </w:r>
          </w:p>
        </w:tc>
      </w:tr>
    </w:tbl>
    <w:p>
      <w:pPr>
        <w:spacing w:after="60"/>
      </w:pPr>
    </w:p>
    <w:p>
      <w:pPr>
        <w:pStyle w:val="Normal"/>
      </w:pPr>
      <w:r>
        <w:rPr>
          <w:b w:val="0"/>
        </w:rPr>
        <w:t>Totale 2026: 727 righe, PnL 29.600,00 USD, PF 1,373, WR 71,11%, DD nel sottoperiodo 4.075,50 USD.</w:t>
      </w:r>
    </w:p>
    <w:p>
      <w:pPr>
        <w:pStyle w:val="Heading1"/>
      </w:pPr>
      <w:r>
        <w:t>17 Equity e drawdown del portafoglio</w:t>
      </w:r>
    </w:p>
    <w:p>
      <w:pPr>
        <w:pStyle w:val="Normal"/>
      </w:pPr>
      <w:r>
        <w:rPr>
          <w:b w:val="0"/>
        </w:rPr>
        <w:t>La curva aggregata somma PnL netti già dollarizzati alla size originale e non reinveste automaticamente gli utili. La curva chiusa nasconde la volatilità intratrade e non dimostra che una prop o un broker avrebbe accettato tutta l’esposizione simultanea. L’andamento contiene fasi di drawdown: la positività del totale non equivale a profitto costante.</w:t>
      </w:r>
    </w:p>
    <w:p>
      <w:pPr>
        <w:pStyle w:val="Normal"/>
        <w:keepNext/>
      </w:pPr>
      <w:r>
        <w:rPr>
          <w:b w:val="0"/>
        </w:rPr>
        <w:t>Figura 9   Portafoglio e componenti con costi modellati inclusi</w:t>
      </w:r>
    </w:p>
    <w:p>
      <w:r>
        <w:drawing>
          <wp:inline xmlns:a="http://schemas.openxmlformats.org/drawingml/2006/main" xmlns:pic="http://schemas.openxmlformats.org/drawingml/2006/picture">
            <wp:extent cx="5943600" cy="2701636"/>
            <wp:docPr id="9" name="Picture 9" descr="Portafoglio e componenti con costi modellati inclusi"/>
            <wp:cNvGraphicFramePr>
              <a:graphicFrameLocks noChangeAspect="1"/>
            </wp:cNvGraphicFramePr>
            <a:graphic>
              <a:graphicData uri="http://schemas.openxmlformats.org/drawingml/2006/picture">
                <pic:pic>
                  <pic:nvPicPr>
                    <pic:cNvPr id="0" name="equity.png"/>
                    <pic:cNvPicPr/>
                  </pic:nvPicPr>
                  <pic:blipFill>
                    <a:blip r:embed="rId30"/>
                    <a:stretch>
                      <a:fillRect/>
                    </a:stretch>
                  </pic:blipFill>
                  <pic:spPr>
                    <a:xfrm>
                      <a:off x="0" y="0"/>
                      <a:ext cx="5943600" cy="2701636"/>
                    </a:xfrm>
                    <a:prstGeom prst="rect"/>
                  </pic:spPr>
                </pic:pic>
              </a:graphicData>
            </a:graphic>
          </wp:inline>
        </w:drawing>
      </w:r>
    </w:p>
    <w:p>
      <w:pPr>
        <w:pStyle w:val="Normal"/>
        <w:keepNext/>
      </w:pPr>
      <w:r>
        <w:rPr>
          <w:b w:val="0"/>
        </w:rPr>
        <w:t>Figura 10   Drawdown cumulato sulle operazioni chiuse</w:t>
      </w:r>
    </w:p>
    <w:p>
      <w:r>
        <w:drawing>
          <wp:inline xmlns:a="http://schemas.openxmlformats.org/drawingml/2006/main" xmlns:pic="http://schemas.openxmlformats.org/drawingml/2006/picture">
            <wp:extent cx="5943600" cy="2759529"/>
            <wp:docPr id="10" name="Picture 10" descr="Drawdown cumulato sulle operazioni chiuse"/>
            <wp:cNvGraphicFramePr>
              <a:graphicFrameLocks noChangeAspect="1"/>
            </wp:cNvGraphicFramePr>
            <a:graphic>
              <a:graphicData uri="http://schemas.openxmlformats.org/drawingml/2006/picture">
                <pic:pic>
                  <pic:nvPicPr>
                    <pic:cNvPr id="0" name="drawdown.png"/>
                    <pic:cNvPicPr/>
                  </pic:nvPicPr>
                  <pic:blipFill>
                    <a:blip r:embed="rId31"/>
                    <a:stretch>
                      <a:fillRect/>
                    </a:stretch>
                  </pic:blipFill>
                  <pic:spPr>
                    <a:xfrm>
                      <a:off x="0" y="0"/>
                      <a:ext cx="5943600" cy="2759529"/>
                    </a:xfrm>
                    <a:prstGeom prst="rect"/>
                  </pic:spPr>
                </pic:pic>
              </a:graphicData>
            </a:graphic>
          </wp:inline>
        </w:drawing>
      </w:r>
    </w:p>
    <w:p>
      <w:pPr>
        <w:pStyle w:val="Heading1"/>
      </w:pPr>
      <w:r>
        <w:t>18 Analisi mensile</w:t>
      </w:r>
    </w:p>
    <w:p>
      <w:pPr>
        <w:pStyle w:val="Normal"/>
      </w:pPr>
      <w:r>
        <w:rPr>
          <w:b w:val="0"/>
        </w:rPr>
        <w:t>Per ogni mese riporto PnL e numero righe, PF, DD locale e DD cumulato massimo osservato in quel mese. Il DD locale riparte da zero all’inizio del mese; il DD cumulato conserva il precedente massimo storico e può essere alto anche in un mese positivo. Settembre 2026 è soltanto un frammento di due giorni.</w:t>
      </w:r>
    </w:p>
    <w:p>
      <w:pPr>
        <w:pStyle w:val="Normal"/>
      </w:pPr>
      <w:r>
        <w:rPr>
          <w:b w:val="0"/>
        </w:rPr>
        <w:t>Un PF indicato come n.d. non è stimabile perché nel sottoperiodo non ci sono perdite; non è evidenza di rischio nullo.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68"/>
        <w:gridCol w:w="792"/>
        <w:gridCol w:w="1944"/>
        <w:gridCol w:w="936"/>
        <w:gridCol w:w="2016"/>
        <w:gridCol w:w="2304"/>
      </w:tblGrid>
      <w:tr>
        <w:trPr>
          <w:cantSplit/>
          <w:tblHeader/>
        </w:trPr>
        <w:tc>
          <w:tcPr>
            <w:tcW w:type="dxa" w:w="1368"/>
            <w:vAlign w:val="center"/>
            <w:shd w:fill="DDEAF2"/>
            <w:tcMar>
              <w:top w:w="85" w:type="dxa"/>
              <w:left w:w="85" w:type="dxa"/>
              <w:bottom w:w="85" w:type="dxa"/>
              <w:right w:w="85" w:type="dxa"/>
            </w:tcMar>
          </w:tcPr>
          <w:p>
            <w:pPr>
              <w:spacing w:after="60" w:before="60" w:line="240" w:lineRule="auto"/>
              <w:jc w:val="left"/>
            </w:pPr>
            <w:r>
              <w:rPr>
                <w:rFonts w:ascii="Calibri" w:hAnsi="Calibri"/>
                <w:b/>
                <w:sz w:val="19"/>
              </w:rPr>
              <w:t>Mese</w:t>
            </w:r>
          </w:p>
        </w:tc>
        <w:tc>
          <w:tcPr>
            <w:tcW w:type="dxa" w:w="792"/>
            <w:vAlign w:val="center"/>
            <w:shd w:fill="DDEAF2"/>
            <w:tcMar>
              <w:top w:w="85" w:type="dxa"/>
              <w:left w:w="85" w:type="dxa"/>
              <w:bottom w:w="85" w:type="dxa"/>
              <w:right w:w="85" w:type="dxa"/>
            </w:tcMar>
          </w:tcPr>
          <w:p>
            <w:pPr>
              <w:spacing w:after="60" w:before="60" w:line="240" w:lineRule="auto"/>
              <w:jc w:val="center"/>
            </w:pPr>
            <w:r>
              <w:rPr>
                <w:rFonts w:ascii="Calibri" w:hAnsi="Calibri"/>
                <w:b/>
                <w:sz w:val="19"/>
              </w:rPr>
              <w:t>Righe</w:t>
            </w:r>
          </w:p>
        </w:tc>
        <w:tc>
          <w:tcPr>
            <w:tcW w:type="dxa" w:w="1944"/>
            <w:vAlign w:val="center"/>
            <w:shd w:fill="DDEAF2"/>
            <w:tcMar>
              <w:top w:w="85" w:type="dxa"/>
              <w:left w:w="85" w:type="dxa"/>
              <w:bottom w:w="85" w:type="dxa"/>
              <w:right w:w="85" w:type="dxa"/>
            </w:tcMar>
          </w:tcPr>
          <w:p>
            <w:pPr>
              <w:spacing w:after="60" w:before="60" w:line="240" w:lineRule="auto"/>
              <w:jc w:val="center"/>
            </w:pPr>
            <w:r>
              <w:rPr>
                <w:rFonts w:ascii="Calibri" w:hAnsi="Calibri"/>
                <w:b/>
                <w:sz w:val="19"/>
              </w:rPr>
              <w:t>PnL USD</w:t>
            </w:r>
          </w:p>
        </w:tc>
        <w:tc>
          <w:tcPr>
            <w:tcW w:type="dxa" w:w="936"/>
            <w:vAlign w:val="center"/>
            <w:shd w:fill="DDEAF2"/>
            <w:tcMar>
              <w:top w:w="85" w:type="dxa"/>
              <w:left w:w="85" w:type="dxa"/>
              <w:bottom w:w="85" w:type="dxa"/>
              <w:right w:w="85" w:type="dxa"/>
            </w:tcMar>
          </w:tcPr>
          <w:p>
            <w:pPr>
              <w:spacing w:after="60" w:before="60" w:line="240" w:lineRule="auto"/>
              <w:jc w:val="center"/>
            </w:pPr>
            <w:r>
              <w:rPr>
                <w:rFonts w:ascii="Calibri" w:hAnsi="Calibri"/>
                <w:b/>
                <w:sz w:val="19"/>
              </w:rPr>
              <w:t>PF</w:t>
            </w:r>
          </w:p>
        </w:tc>
        <w:tc>
          <w:tcPr>
            <w:tcW w:type="dxa" w:w="2016"/>
            <w:vAlign w:val="center"/>
            <w:shd w:fill="DDEAF2"/>
            <w:tcMar>
              <w:top w:w="85" w:type="dxa"/>
              <w:left w:w="85" w:type="dxa"/>
              <w:bottom w:w="85" w:type="dxa"/>
              <w:right w:w="85" w:type="dxa"/>
            </w:tcMar>
          </w:tcPr>
          <w:p>
            <w:pPr>
              <w:spacing w:after="60" w:before="60" w:line="240" w:lineRule="auto"/>
              <w:jc w:val="center"/>
            </w:pPr>
            <w:r>
              <w:rPr>
                <w:rFonts w:ascii="Calibri" w:hAnsi="Calibri"/>
                <w:b/>
                <w:sz w:val="19"/>
              </w:rPr>
              <w:t>DD locale</w:t>
            </w:r>
          </w:p>
        </w:tc>
        <w:tc>
          <w:tcPr>
            <w:tcW w:type="dxa" w:w="2304"/>
            <w:vAlign w:val="center"/>
            <w:shd w:fill="DDEAF2"/>
            <w:tcMar>
              <w:top w:w="85" w:type="dxa"/>
              <w:left w:w="85" w:type="dxa"/>
              <w:bottom w:w="85" w:type="dxa"/>
              <w:right w:w="85" w:type="dxa"/>
            </w:tcMar>
          </w:tcPr>
          <w:p>
            <w:pPr>
              <w:spacing w:after="60" w:before="60" w:line="240" w:lineRule="auto"/>
              <w:jc w:val="center"/>
            </w:pPr>
            <w:r>
              <w:rPr>
                <w:rFonts w:ascii="Calibri" w:hAnsi="Calibri"/>
                <w:b/>
                <w:sz w:val="19"/>
              </w:rPr>
              <w:t>DD cumulato</w:t>
            </w:r>
          </w:p>
        </w:tc>
      </w:tr>
      <w:tr>
        <w:trPr>
          <w:cantSplit/>
        </w:trPr>
        <w:tc>
          <w:tcPr>
            <w:tcW w:type="dxa" w:w="1368"/>
            <w:vAlign w:val="center"/>
            <w:shd w:fill="FFFFFF"/>
            <w:tcMar>
              <w:top w:w="85" w:type="dxa"/>
              <w:left w:w="85" w:type="dxa"/>
              <w:bottom w:w="85" w:type="dxa"/>
              <w:right w:w="85" w:type="dxa"/>
            </w:tcMar>
          </w:tcPr>
          <w:p>
            <w:pPr>
              <w:spacing w:after="60" w:before="60" w:line="240" w:lineRule="auto"/>
              <w:jc w:val="left"/>
            </w:pPr>
            <w:r>
              <w:rPr>
                <w:rFonts w:ascii="Calibri" w:hAnsi="Calibri"/>
                <w:b w:val="0"/>
                <w:sz w:val="19"/>
              </w:rPr>
              <w:t>2025-01</w:t>
            </w:r>
          </w:p>
        </w:tc>
        <w:tc>
          <w:tcPr>
            <w:tcW w:type="dxa" w:w="792"/>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64</w:t>
            </w:r>
          </w:p>
        </w:tc>
        <w:tc>
          <w:tcPr>
            <w:tcW w:type="dxa" w:w="1944"/>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-583,00</w:t>
            </w:r>
          </w:p>
        </w:tc>
        <w:tc>
          <w:tcPr>
            <w:tcW w:type="dxa" w:w="936"/>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0,93</w:t>
            </w:r>
          </w:p>
        </w:tc>
        <w:tc>
          <w:tcPr>
            <w:tcW w:type="dxa" w:w="2016"/>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3.488,50</w:t>
            </w:r>
          </w:p>
        </w:tc>
        <w:tc>
          <w:tcPr>
            <w:tcW w:type="dxa" w:w="2304"/>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3.488,50</w:t>
            </w:r>
          </w:p>
        </w:tc>
      </w:tr>
      <w:tr>
        <w:trPr>
          <w:cantSplit/>
        </w:trPr>
        <w:tc>
          <w:tcPr>
            <w:tcW w:type="dxa" w:w="1368"/>
            <w:vAlign w:val="center"/>
            <w:shd w:fill="F6F8FA"/>
            <w:tcMar>
              <w:top w:w="85" w:type="dxa"/>
              <w:left w:w="85" w:type="dxa"/>
              <w:bottom w:w="85" w:type="dxa"/>
              <w:right w:w="85" w:type="dxa"/>
            </w:tcMar>
          </w:tcPr>
          <w:p>
            <w:pPr>
              <w:spacing w:after="60" w:before="60" w:line="240" w:lineRule="auto"/>
              <w:jc w:val="left"/>
            </w:pPr>
            <w:r>
              <w:rPr>
                <w:rFonts w:ascii="Calibri" w:hAnsi="Calibri"/>
                <w:b w:val="0"/>
                <w:sz w:val="19"/>
              </w:rPr>
              <w:t>2025-02</w:t>
            </w:r>
          </w:p>
        </w:tc>
        <w:tc>
          <w:tcPr>
            <w:tcW w:type="dxa" w:w="792"/>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61</w:t>
            </w:r>
          </w:p>
        </w:tc>
        <w:tc>
          <w:tcPr>
            <w:tcW w:type="dxa" w:w="1944"/>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5.725,50</w:t>
            </w:r>
          </w:p>
        </w:tc>
        <w:tc>
          <w:tcPr>
            <w:tcW w:type="dxa" w:w="936"/>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2,38</w:t>
            </w:r>
          </w:p>
        </w:tc>
        <w:tc>
          <w:tcPr>
            <w:tcW w:type="dxa" w:w="2016"/>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936,00</w:t>
            </w:r>
          </w:p>
        </w:tc>
        <w:tc>
          <w:tcPr>
            <w:tcW w:type="dxa" w:w="2304"/>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3.667,50</w:t>
            </w:r>
          </w:p>
        </w:tc>
      </w:tr>
      <w:tr>
        <w:trPr>
          <w:cantSplit/>
        </w:trPr>
        <w:tc>
          <w:tcPr>
            <w:tcW w:type="dxa" w:w="1368"/>
            <w:vAlign w:val="center"/>
            <w:shd w:fill="FFFFFF"/>
            <w:tcMar>
              <w:top w:w="85" w:type="dxa"/>
              <w:left w:w="85" w:type="dxa"/>
              <w:bottom w:w="85" w:type="dxa"/>
              <w:right w:w="85" w:type="dxa"/>
            </w:tcMar>
          </w:tcPr>
          <w:p>
            <w:pPr>
              <w:spacing w:after="60" w:before="60" w:line="240" w:lineRule="auto"/>
              <w:jc w:val="left"/>
            </w:pPr>
            <w:r>
              <w:rPr>
                <w:rFonts w:ascii="Calibri" w:hAnsi="Calibri"/>
                <w:b w:val="0"/>
                <w:sz w:val="19"/>
              </w:rPr>
              <w:t>2025-03</w:t>
            </w:r>
          </w:p>
        </w:tc>
        <w:tc>
          <w:tcPr>
            <w:tcW w:type="dxa" w:w="792"/>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74</w:t>
            </w:r>
          </w:p>
        </w:tc>
        <w:tc>
          <w:tcPr>
            <w:tcW w:type="dxa" w:w="1944"/>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6.478,50</w:t>
            </w:r>
          </w:p>
        </w:tc>
        <w:tc>
          <w:tcPr>
            <w:tcW w:type="dxa" w:w="936"/>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1,95</w:t>
            </w:r>
          </w:p>
        </w:tc>
        <w:tc>
          <w:tcPr>
            <w:tcW w:type="dxa" w:w="2016"/>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1.430,00</w:t>
            </w:r>
          </w:p>
        </w:tc>
        <w:tc>
          <w:tcPr>
            <w:tcW w:type="dxa" w:w="2304"/>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1.430,00</w:t>
            </w:r>
          </w:p>
        </w:tc>
      </w:tr>
      <w:tr>
        <w:trPr>
          <w:cantSplit/>
        </w:trPr>
        <w:tc>
          <w:tcPr>
            <w:tcW w:type="dxa" w:w="1368"/>
            <w:vAlign w:val="center"/>
            <w:shd w:fill="F6F8FA"/>
            <w:tcMar>
              <w:top w:w="85" w:type="dxa"/>
              <w:left w:w="85" w:type="dxa"/>
              <w:bottom w:w="85" w:type="dxa"/>
              <w:right w:w="85" w:type="dxa"/>
            </w:tcMar>
          </w:tcPr>
          <w:p>
            <w:pPr>
              <w:spacing w:after="60" w:before="60" w:line="240" w:lineRule="auto"/>
              <w:jc w:val="left"/>
            </w:pPr>
            <w:r>
              <w:rPr>
                <w:rFonts w:ascii="Calibri" w:hAnsi="Calibri"/>
                <w:b w:val="0"/>
                <w:sz w:val="19"/>
              </w:rPr>
              <w:t>2025-04</w:t>
            </w:r>
          </w:p>
        </w:tc>
        <w:tc>
          <w:tcPr>
            <w:tcW w:type="dxa" w:w="792"/>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96</w:t>
            </w:r>
          </w:p>
        </w:tc>
        <w:tc>
          <w:tcPr>
            <w:tcW w:type="dxa" w:w="1944"/>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6.093,00</w:t>
            </w:r>
          </w:p>
        </w:tc>
        <w:tc>
          <w:tcPr>
            <w:tcW w:type="dxa" w:w="936"/>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1,61</w:t>
            </w:r>
          </w:p>
        </w:tc>
        <w:tc>
          <w:tcPr>
            <w:tcW w:type="dxa" w:w="2016"/>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2.010,00</w:t>
            </w:r>
          </w:p>
        </w:tc>
        <w:tc>
          <w:tcPr>
            <w:tcW w:type="dxa" w:w="2304"/>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2.010,00</w:t>
            </w:r>
          </w:p>
        </w:tc>
      </w:tr>
      <w:tr>
        <w:trPr>
          <w:cantSplit/>
        </w:trPr>
        <w:tc>
          <w:tcPr>
            <w:tcW w:type="dxa" w:w="1368"/>
            <w:vAlign w:val="center"/>
            <w:shd w:fill="FFFFFF"/>
            <w:tcMar>
              <w:top w:w="85" w:type="dxa"/>
              <w:left w:w="85" w:type="dxa"/>
              <w:bottom w:w="85" w:type="dxa"/>
              <w:right w:w="85" w:type="dxa"/>
            </w:tcMar>
          </w:tcPr>
          <w:p>
            <w:pPr>
              <w:spacing w:after="60" w:before="60" w:line="240" w:lineRule="auto"/>
              <w:jc w:val="left"/>
            </w:pPr>
            <w:r>
              <w:rPr>
                <w:rFonts w:ascii="Calibri" w:hAnsi="Calibri"/>
                <w:b w:val="0"/>
                <w:sz w:val="19"/>
              </w:rPr>
              <w:t>2025-05</w:t>
            </w:r>
          </w:p>
        </w:tc>
        <w:tc>
          <w:tcPr>
            <w:tcW w:type="dxa" w:w="792"/>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74</w:t>
            </w:r>
          </w:p>
        </w:tc>
        <w:tc>
          <w:tcPr>
            <w:tcW w:type="dxa" w:w="1944"/>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5.665,00</w:t>
            </w:r>
          </w:p>
        </w:tc>
        <w:tc>
          <w:tcPr>
            <w:tcW w:type="dxa" w:w="936"/>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2,01</w:t>
            </w:r>
          </w:p>
        </w:tc>
        <w:tc>
          <w:tcPr>
            <w:tcW w:type="dxa" w:w="2016"/>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1.895,00</w:t>
            </w:r>
          </w:p>
        </w:tc>
        <w:tc>
          <w:tcPr>
            <w:tcW w:type="dxa" w:w="2304"/>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1.895,00</w:t>
            </w:r>
          </w:p>
        </w:tc>
      </w:tr>
      <w:tr>
        <w:trPr>
          <w:cantSplit/>
        </w:trPr>
        <w:tc>
          <w:tcPr>
            <w:tcW w:type="dxa" w:w="1368"/>
            <w:vAlign w:val="center"/>
            <w:shd w:fill="F6F8FA"/>
            <w:tcMar>
              <w:top w:w="85" w:type="dxa"/>
              <w:left w:w="85" w:type="dxa"/>
              <w:bottom w:w="85" w:type="dxa"/>
              <w:right w:w="85" w:type="dxa"/>
            </w:tcMar>
          </w:tcPr>
          <w:p>
            <w:pPr>
              <w:spacing w:after="60" w:before="60" w:line="240" w:lineRule="auto"/>
              <w:jc w:val="left"/>
            </w:pPr>
            <w:r>
              <w:rPr>
                <w:rFonts w:ascii="Calibri" w:hAnsi="Calibri"/>
                <w:b w:val="0"/>
                <w:sz w:val="19"/>
              </w:rPr>
              <w:t>2025-06</w:t>
            </w:r>
          </w:p>
        </w:tc>
        <w:tc>
          <w:tcPr>
            <w:tcW w:type="dxa" w:w="792"/>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72</w:t>
            </w:r>
          </w:p>
        </w:tc>
        <w:tc>
          <w:tcPr>
            <w:tcW w:type="dxa" w:w="1944"/>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-1.160,50</w:t>
            </w:r>
          </w:p>
        </w:tc>
        <w:tc>
          <w:tcPr>
            <w:tcW w:type="dxa" w:w="936"/>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0,89</w:t>
            </w:r>
          </w:p>
        </w:tc>
        <w:tc>
          <w:tcPr>
            <w:tcW w:type="dxa" w:w="2016"/>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4.204,50</w:t>
            </w:r>
          </w:p>
        </w:tc>
        <w:tc>
          <w:tcPr>
            <w:tcW w:type="dxa" w:w="2304"/>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4.204,50</w:t>
            </w:r>
          </w:p>
        </w:tc>
      </w:tr>
      <w:tr>
        <w:trPr>
          <w:cantSplit/>
        </w:trPr>
        <w:tc>
          <w:tcPr>
            <w:tcW w:type="dxa" w:w="1368"/>
            <w:vAlign w:val="center"/>
            <w:shd w:fill="FFFFFF"/>
            <w:tcMar>
              <w:top w:w="85" w:type="dxa"/>
              <w:left w:w="85" w:type="dxa"/>
              <w:bottom w:w="85" w:type="dxa"/>
              <w:right w:w="85" w:type="dxa"/>
            </w:tcMar>
          </w:tcPr>
          <w:p>
            <w:pPr>
              <w:spacing w:after="60" w:before="60" w:line="240" w:lineRule="auto"/>
              <w:jc w:val="left"/>
            </w:pPr>
            <w:r>
              <w:rPr>
                <w:rFonts w:ascii="Calibri" w:hAnsi="Calibri"/>
                <w:b w:val="0"/>
                <w:sz w:val="19"/>
              </w:rPr>
              <w:t>2025-07</w:t>
            </w:r>
          </w:p>
        </w:tc>
        <w:tc>
          <w:tcPr>
            <w:tcW w:type="dxa" w:w="792"/>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33</w:t>
            </w:r>
          </w:p>
        </w:tc>
        <w:tc>
          <w:tcPr>
            <w:tcW w:type="dxa" w:w="1944"/>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2.035,50</w:t>
            </w:r>
          </w:p>
        </w:tc>
        <w:tc>
          <w:tcPr>
            <w:tcW w:type="dxa" w:w="936"/>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1,47</w:t>
            </w:r>
          </w:p>
        </w:tc>
        <w:tc>
          <w:tcPr>
            <w:tcW w:type="dxa" w:w="2016"/>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1.908,50</w:t>
            </w:r>
          </w:p>
        </w:tc>
        <w:tc>
          <w:tcPr>
            <w:tcW w:type="dxa" w:w="2304"/>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3.699,50</w:t>
            </w:r>
          </w:p>
        </w:tc>
      </w:tr>
      <w:tr>
        <w:trPr>
          <w:cantSplit/>
        </w:trPr>
        <w:tc>
          <w:tcPr>
            <w:tcW w:type="dxa" w:w="1368"/>
            <w:vAlign w:val="center"/>
            <w:shd w:fill="F6F8FA"/>
            <w:tcMar>
              <w:top w:w="85" w:type="dxa"/>
              <w:left w:w="85" w:type="dxa"/>
              <w:bottom w:w="85" w:type="dxa"/>
              <w:right w:w="85" w:type="dxa"/>
            </w:tcMar>
          </w:tcPr>
          <w:p>
            <w:pPr>
              <w:spacing w:after="60" w:before="60" w:line="240" w:lineRule="auto"/>
              <w:jc w:val="left"/>
            </w:pPr>
            <w:r>
              <w:rPr>
                <w:rFonts w:ascii="Calibri" w:hAnsi="Calibri"/>
                <w:b w:val="0"/>
                <w:sz w:val="19"/>
              </w:rPr>
              <w:t>2025-08</w:t>
            </w:r>
          </w:p>
        </w:tc>
        <w:tc>
          <w:tcPr>
            <w:tcW w:type="dxa" w:w="792"/>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50</w:t>
            </w:r>
          </w:p>
        </w:tc>
        <w:tc>
          <w:tcPr>
            <w:tcW w:type="dxa" w:w="1944"/>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3.145,50</w:t>
            </w:r>
          </w:p>
        </w:tc>
        <w:tc>
          <w:tcPr>
            <w:tcW w:type="dxa" w:w="936"/>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1,57</w:t>
            </w:r>
          </w:p>
        </w:tc>
        <w:tc>
          <w:tcPr>
            <w:tcW w:type="dxa" w:w="2016"/>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1.483,00</w:t>
            </w:r>
          </w:p>
        </w:tc>
        <w:tc>
          <w:tcPr>
            <w:tcW w:type="dxa" w:w="2304"/>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2.173,50</w:t>
            </w:r>
          </w:p>
        </w:tc>
      </w:tr>
      <w:tr>
        <w:trPr>
          <w:cantSplit/>
        </w:trPr>
        <w:tc>
          <w:tcPr>
            <w:tcW w:type="dxa" w:w="1368"/>
            <w:vAlign w:val="center"/>
            <w:shd w:fill="FFFFFF"/>
            <w:tcMar>
              <w:top w:w="85" w:type="dxa"/>
              <w:left w:w="85" w:type="dxa"/>
              <w:bottom w:w="85" w:type="dxa"/>
              <w:right w:w="85" w:type="dxa"/>
            </w:tcMar>
          </w:tcPr>
          <w:p>
            <w:pPr>
              <w:spacing w:after="60" w:before="60" w:line="240" w:lineRule="auto"/>
              <w:jc w:val="left"/>
            </w:pPr>
            <w:r>
              <w:rPr>
                <w:rFonts w:ascii="Calibri" w:hAnsi="Calibri"/>
                <w:b w:val="0"/>
                <w:sz w:val="19"/>
              </w:rPr>
              <w:t>2025-09</w:t>
            </w:r>
          </w:p>
        </w:tc>
        <w:tc>
          <w:tcPr>
            <w:tcW w:type="dxa" w:w="792"/>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55</w:t>
            </w:r>
          </w:p>
        </w:tc>
        <w:tc>
          <w:tcPr>
            <w:tcW w:type="dxa" w:w="1944"/>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-1.003,50</w:t>
            </w:r>
          </w:p>
        </w:tc>
        <w:tc>
          <w:tcPr>
            <w:tcW w:type="dxa" w:w="936"/>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0,86</w:t>
            </w:r>
          </w:p>
        </w:tc>
        <w:tc>
          <w:tcPr>
            <w:tcW w:type="dxa" w:w="2016"/>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2.016,50</w:t>
            </w:r>
          </w:p>
        </w:tc>
        <w:tc>
          <w:tcPr>
            <w:tcW w:type="dxa" w:w="2304"/>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2.186,00</w:t>
            </w:r>
          </w:p>
        </w:tc>
      </w:tr>
      <w:tr>
        <w:trPr>
          <w:cantSplit/>
        </w:trPr>
        <w:tc>
          <w:tcPr>
            <w:tcW w:type="dxa" w:w="1368"/>
            <w:vAlign w:val="center"/>
            <w:shd w:fill="F6F8FA"/>
            <w:tcMar>
              <w:top w:w="85" w:type="dxa"/>
              <w:left w:w="85" w:type="dxa"/>
              <w:bottom w:w="85" w:type="dxa"/>
              <w:right w:w="85" w:type="dxa"/>
            </w:tcMar>
          </w:tcPr>
          <w:p>
            <w:pPr>
              <w:spacing w:after="60" w:before="60" w:line="240" w:lineRule="auto"/>
              <w:jc w:val="left"/>
            </w:pPr>
            <w:r>
              <w:rPr>
                <w:rFonts w:ascii="Calibri" w:hAnsi="Calibri"/>
                <w:b w:val="0"/>
                <w:sz w:val="19"/>
              </w:rPr>
              <w:t>2025-10</w:t>
            </w:r>
          </w:p>
        </w:tc>
        <w:tc>
          <w:tcPr>
            <w:tcW w:type="dxa" w:w="792"/>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84</w:t>
            </w:r>
          </w:p>
        </w:tc>
        <w:tc>
          <w:tcPr>
            <w:tcW w:type="dxa" w:w="1944"/>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3.238,50</w:t>
            </w:r>
          </w:p>
        </w:tc>
        <w:tc>
          <w:tcPr>
            <w:tcW w:type="dxa" w:w="936"/>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1,36</w:t>
            </w:r>
          </w:p>
        </w:tc>
        <w:tc>
          <w:tcPr>
            <w:tcW w:type="dxa" w:w="2016"/>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2.786,00</w:t>
            </w:r>
          </w:p>
        </w:tc>
        <w:tc>
          <w:tcPr>
            <w:tcW w:type="dxa" w:w="2304"/>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2.786,00</w:t>
            </w:r>
          </w:p>
        </w:tc>
      </w:tr>
      <w:tr>
        <w:trPr>
          <w:cantSplit/>
        </w:trPr>
        <w:tc>
          <w:tcPr>
            <w:tcW w:type="dxa" w:w="1368"/>
            <w:vAlign w:val="center"/>
            <w:shd w:fill="FFFFFF"/>
            <w:tcMar>
              <w:top w:w="85" w:type="dxa"/>
              <w:left w:w="85" w:type="dxa"/>
              <w:bottom w:w="85" w:type="dxa"/>
              <w:right w:w="85" w:type="dxa"/>
            </w:tcMar>
          </w:tcPr>
          <w:p>
            <w:pPr>
              <w:spacing w:after="60" w:before="60" w:line="240" w:lineRule="auto"/>
              <w:jc w:val="left"/>
            </w:pPr>
            <w:r>
              <w:rPr>
                <w:rFonts w:ascii="Calibri" w:hAnsi="Calibri"/>
                <w:b w:val="0"/>
                <w:sz w:val="19"/>
              </w:rPr>
              <w:t>2025-11</w:t>
            </w:r>
          </w:p>
        </w:tc>
        <w:tc>
          <w:tcPr>
            <w:tcW w:type="dxa" w:w="792"/>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84</w:t>
            </w:r>
          </w:p>
        </w:tc>
        <w:tc>
          <w:tcPr>
            <w:tcW w:type="dxa" w:w="1944"/>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3.681,00</w:t>
            </w:r>
          </w:p>
        </w:tc>
        <w:tc>
          <w:tcPr>
            <w:tcW w:type="dxa" w:w="936"/>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1,53</w:t>
            </w:r>
          </w:p>
        </w:tc>
        <w:tc>
          <w:tcPr>
            <w:tcW w:type="dxa" w:w="2016"/>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1.514,50</w:t>
            </w:r>
          </w:p>
        </w:tc>
        <w:tc>
          <w:tcPr>
            <w:tcW w:type="dxa" w:w="2304"/>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1.618,00</w:t>
            </w:r>
          </w:p>
        </w:tc>
      </w:tr>
      <w:tr>
        <w:trPr>
          <w:cantSplit/>
        </w:trPr>
        <w:tc>
          <w:tcPr>
            <w:tcW w:type="dxa" w:w="1368"/>
            <w:vAlign w:val="center"/>
            <w:shd w:fill="F6F8FA"/>
            <w:tcMar>
              <w:top w:w="85" w:type="dxa"/>
              <w:left w:w="85" w:type="dxa"/>
              <w:bottom w:w="85" w:type="dxa"/>
              <w:right w:w="85" w:type="dxa"/>
            </w:tcMar>
          </w:tcPr>
          <w:p>
            <w:pPr>
              <w:spacing w:after="60" w:before="60" w:line="240" w:lineRule="auto"/>
              <w:jc w:val="left"/>
            </w:pPr>
            <w:r>
              <w:rPr>
                <w:rFonts w:ascii="Calibri" w:hAnsi="Calibri"/>
                <w:b w:val="0"/>
                <w:sz w:val="19"/>
              </w:rPr>
              <w:t>2025-12</w:t>
            </w:r>
          </w:p>
        </w:tc>
        <w:tc>
          <w:tcPr>
            <w:tcW w:type="dxa" w:w="792"/>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75</w:t>
            </w:r>
          </w:p>
        </w:tc>
        <w:tc>
          <w:tcPr>
            <w:tcW w:type="dxa" w:w="1944"/>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-702,50</w:t>
            </w:r>
          </w:p>
        </w:tc>
        <w:tc>
          <w:tcPr>
            <w:tcW w:type="dxa" w:w="936"/>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0,92</w:t>
            </w:r>
          </w:p>
        </w:tc>
        <w:tc>
          <w:tcPr>
            <w:tcW w:type="dxa" w:w="2016"/>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2.097,00</w:t>
            </w:r>
          </w:p>
        </w:tc>
        <w:tc>
          <w:tcPr>
            <w:tcW w:type="dxa" w:w="2304"/>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2.097,00</w:t>
            </w:r>
          </w:p>
        </w:tc>
      </w:tr>
      <w:tr>
        <w:trPr>
          <w:cantSplit/>
        </w:trPr>
        <w:tc>
          <w:tcPr>
            <w:tcW w:type="dxa" w:w="1368"/>
            <w:vAlign w:val="center"/>
            <w:shd w:fill="FFFFFF"/>
            <w:tcMar>
              <w:top w:w="85" w:type="dxa"/>
              <w:left w:w="85" w:type="dxa"/>
              <w:bottom w:w="85" w:type="dxa"/>
              <w:right w:w="85" w:type="dxa"/>
            </w:tcMar>
          </w:tcPr>
          <w:p>
            <w:pPr>
              <w:spacing w:after="60" w:before="60" w:line="240" w:lineRule="auto"/>
              <w:jc w:val="left"/>
            </w:pPr>
            <w:r>
              <w:rPr>
                <w:rFonts w:ascii="Calibri" w:hAnsi="Calibri"/>
                <w:b w:val="0"/>
                <w:sz w:val="19"/>
              </w:rPr>
              <w:t>2026-01</w:t>
            </w:r>
          </w:p>
        </w:tc>
        <w:tc>
          <w:tcPr>
            <w:tcW w:type="dxa" w:w="792"/>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75</w:t>
            </w:r>
          </w:p>
        </w:tc>
        <w:tc>
          <w:tcPr>
            <w:tcW w:type="dxa" w:w="1944"/>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664,00</w:t>
            </w:r>
          </w:p>
        </w:tc>
        <w:tc>
          <w:tcPr>
            <w:tcW w:type="dxa" w:w="936"/>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1,06</w:t>
            </w:r>
          </w:p>
        </w:tc>
        <w:tc>
          <w:tcPr>
            <w:tcW w:type="dxa" w:w="2016"/>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4.075,50</w:t>
            </w:r>
          </w:p>
        </w:tc>
        <w:tc>
          <w:tcPr>
            <w:tcW w:type="dxa" w:w="2304"/>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5.007,00</w:t>
            </w:r>
          </w:p>
        </w:tc>
      </w:tr>
      <w:tr>
        <w:trPr>
          <w:cantSplit/>
        </w:trPr>
        <w:tc>
          <w:tcPr>
            <w:tcW w:type="dxa" w:w="1368"/>
            <w:vAlign w:val="center"/>
            <w:shd w:fill="F6F8FA"/>
            <w:tcMar>
              <w:top w:w="85" w:type="dxa"/>
              <w:left w:w="85" w:type="dxa"/>
              <w:bottom w:w="85" w:type="dxa"/>
              <w:right w:w="85" w:type="dxa"/>
            </w:tcMar>
          </w:tcPr>
          <w:p>
            <w:pPr>
              <w:spacing w:after="60" w:before="60" w:line="240" w:lineRule="auto"/>
              <w:jc w:val="left"/>
            </w:pPr>
            <w:r>
              <w:rPr>
                <w:rFonts w:ascii="Calibri" w:hAnsi="Calibri"/>
                <w:b w:val="0"/>
                <w:sz w:val="19"/>
              </w:rPr>
              <w:t>2026-02</w:t>
            </w:r>
          </w:p>
        </w:tc>
        <w:tc>
          <w:tcPr>
            <w:tcW w:type="dxa" w:w="792"/>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74</w:t>
            </w:r>
          </w:p>
        </w:tc>
        <w:tc>
          <w:tcPr>
            <w:tcW w:type="dxa" w:w="1944"/>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4.859,00</w:t>
            </w:r>
          </w:p>
        </w:tc>
        <w:tc>
          <w:tcPr>
            <w:tcW w:type="dxa" w:w="936"/>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1,57</w:t>
            </w:r>
          </w:p>
        </w:tc>
        <w:tc>
          <w:tcPr>
            <w:tcW w:type="dxa" w:w="2016"/>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1.703,00</w:t>
            </w:r>
          </w:p>
        </w:tc>
        <w:tc>
          <w:tcPr>
            <w:tcW w:type="dxa" w:w="2304"/>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1.703,00</w:t>
            </w:r>
          </w:p>
        </w:tc>
      </w:tr>
      <w:tr>
        <w:trPr>
          <w:cantSplit/>
        </w:trPr>
        <w:tc>
          <w:tcPr>
            <w:tcW w:type="dxa" w:w="1368"/>
            <w:vAlign w:val="center"/>
            <w:shd w:fill="FFFFFF"/>
            <w:tcMar>
              <w:top w:w="85" w:type="dxa"/>
              <w:left w:w="85" w:type="dxa"/>
              <w:bottom w:w="85" w:type="dxa"/>
              <w:right w:w="85" w:type="dxa"/>
            </w:tcMar>
          </w:tcPr>
          <w:p>
            <w:pPr>
              <w:spacing w:after="60" w:before="60" w:line="240" w:lineRule="auto"/>
              <w:jc w:val="left"/>
            </w:pPr>
            <w:r>
              <w:rPr>
                <w:rFonts w:ascii="Calibri" w:hAnsi="Calibri"/>
                <w:b w:val="0"/>
                <w:sz w:val="19"/>
              </w:rPr>
              <w:t>2026-03</w:t>
            </w:r>
          </w:p>
        </w:tc>
        <w:tc>
          <w:tcPr>
            <w:tcW w:type="dxa" w:w="792"/>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82</w:t>
            </w:r>
          </w:p>
        </w:tc>
        <w:tc>
          <w:tcPr>
            <w:tcW w:type="dxa" w:w="1944"/>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4.245,00</w:t>
            </w:r>
          </w:p>
        </w:tc>
        <w:tc>
          <w:tcPr>
            <w:tcW w:type="dxa" w:w="936"/>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1,43</w:t>
            </w:r>
          </w:p>
        </w:tc>
        <w:tc>
          <w:tcPr>
            <w:tcW w:type="dxa" w:w="2016"/>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1.783,00</w:t>
            </w:r>
          </w:p>
        </w:tc>
        <w:tc>
          <w:tcPr>
            <w:tcW w:type="dxa" w:w="2304"/>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1.783,00</w:t>
            </w:r>
          </w:p>
        </w:tc>
      </w:tr>
      <w:tr>
        <w:trPr>
          <w:cantSplit/>
        </w:trPr>
        <w:tc>
          <w:tcPr>
            <w:tcW w:type="dxa" w:w="1368"/>
            <w:vAlign w:val="center"/>
            <w:shd w:fill="F6F8FA"/>
            <w:tcMar>
              <w:top w:w="85" w:type="dxa"/>
              <w:left w:w="85" w:type="dxa"/>
              <w:bottom w:w="85" w:type="dxa"/>
              <w:right w:w="85" w:type="dxa"/>
            </w:tcMar>
          </w:tcPr>
          <w:p>
            <w:pPr>
              <w:spacing w:after="60" w:before="60" w:line="240" w:lineRule="auto"/>
              <w:jc w:val="left"/>
            </w:pPr>
            <w:r>
              <w:rPr>
                <w:rFonts w:ascii="Calibri" w:hAnsi="Calibri"/>
                <w:b w:val="0"/>
                <w:sz w:val="19"/>
              </w:rPr>
              <w:t>2026-04</w:t>
            </w:r>
          </w:p>
        </w:tc>
        <w:tc>
          <w:tcPr>
            <w:tcW w:type="dxa" w:w="792"/>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88</w:t>
            </w:r>
          </w:p>
        </w:tc>
        <w:tc>
          <w:tcPr>
            <w:tcW w:type="dxa" w:w="1944"/>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4.694,00</w:t>
            </w:r>
          </w:p>
        </w:tc>
        <w:tc>
          <w:tcPr>
            <w:tcW w:type="dxa" w:w="936"/>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1,51</w:t>
            </w:r>
          </w:p>
        </w:tc>
        <w:tc>
          <w:tcPr>
            <w:tcW w:type="dxa" w:w="2016"/>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1.312,00</w:t>
            </w:r>
          </w:p>
        </w:tc>
        <w:tc>
          <w:tcPr>
            <w:tcW w:type="dxa" w:w="2304"/>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1.312,00</w:t>
            </w:r>
          </w:p>
        </w:tc>
      </w:tr>
      <w:tr>
        <w:trPr>
          <w:cantSplit/>
        </w:trPr>
        <w:tc>
          <w:tcPr>
            <w:tcW w:type="dxa" w:w="1368"/>
            <w:vAlign w:val="center"/>
            <w:shd w:fill="FFFFFF"/>
            <w:tcMar>
              <w:top w:w="85" w:type="dxa"/>
              <w:left w:w="85" w:type="dxa"/>
              <w:bottom w:w="85" w:type="dxa"/>
              <w:right w:w="85" w:type="dxa"/>
            </w:tcMar>
          </w:tcPr>
          <w:p>
            <w:pPr>
              <w:spacing w:after="60" w:before="60" w:line="240" w:lineRule="auto"/>
              <w:jc w:val="left"/>
            </w:pPr>
            <w:r>
              <w:rPr>
                <w:rFonts w:ascii="Calibri" w:hAnsi="Calibri"/>
                <w:b w:val="0"/>
                <w:sz w:val="19"/>
              </w:rPr>
              <w:t>2026-05</w:t>
            </w:r>
          </w:p>
        </w:tc>
        <w:tc>
          <w:tcPr>
            <w:tcW w:type="dxa" w:w="792"/>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108</w:t>
            </w:r>
          </w:p>
        </w:tc>
        <w:tc>
          <w:tcPr>
            <w:tcW w:type="dxa" w:w="1944"/>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7.227,00</w:t>
            </w:r>
          </w:p>
        </w:tc>
        <w:tc>
          <w:tcPr>
            <w:tcW w:type="dxa" w:w="936"/>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1,74</w:t>
            </w:r>
          </w:p>
        </w:tc>
        <w:tc>
          <w:tcPr>
            <w:tcW w:type="dxa" w:w="2016"/>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1.813,00</w:t>
            </w:r>
          </w:p>
        </w:tc>
        <w:tc>
          <w:tcPr>
            <w:tcW w:type="dxa" w:w="2304"/>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1.813,00</w:t>
            </w:r>
          </w:p>
        </w:tc>
      </w:tr>
      <w:tr>
        <w:trPr>
          <w:cantSplit/>
        </w:trPr>
        <w:tc>
          <w:tcPr>
            <w:tcW w:type="dxa" w:w="1368"/>
            <w:vAlign w:val="center"/>
            <w:shd w:fill="F6F8FA"/>
            <w:tcMar>
              <w:top w:w="85" w:type="dxa"/>
              <w:left w:w="85" w:type="dxa"/>
              <w:bottom w:w="85" w:type="dxa"/>
              <w:right w:w="85" w:type="dxa"/>
            </w:tcMar>
          </w:tcPr>
          <w:p>
            <w:pPr>
              <w:spacing w:after="60" w:before="60" w:line="240" w:lineRule="auto"/>
              <w:jc w:val="left"/>
            </w:pPr>
            <w:r>
              <w:rPr>
                <w:rFonts w:ascii="Calibri" w:hAnsi="Calibri"/>
                <w:b w:val="0"/>
                <w:sz w:val="19"/>
              </w:rPr>
              <w:t>2026-06</w:t>
            </w:r>
          </w:p>
        </w:tc>
        <w:tc>
          <w:tcPr>
            <w:tcW w:type="dxa" w:w="792"/>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107</w:t>
            </w:r>
          </w:p>
        </w:tc>
        <w:tc>
          <w:tcPr>
            <w:tcW w:type="dxa" w:w="1944"/>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3.933,50</w:t>
            </w:r>
          </w:p>
        </w:tc>
        <w:tc>
          <w:tcPr>
            <w:tcW w:type="dxa" w:w="936"/>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1,37</w:t>
            </w:r>
          </w:p>
        </w:tc>
        <w:tc>
          <w:tcPr>
            <w:tcW w:type="dxa" w:w="2016"/>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2.431,00</w:t>
            </w:r>
          </w:p>
        </w:tc>
        <w:tc>
          <w:tcPr>
            <w:tcW w:type="dxa" w:w="2304"/>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2.431,00</w:t>
            </w:r>
          </w:p>
        </w:tc>
      </w:tr>
      <w:tr>
        <w:trPr>
          <w:cantSplit/>
        </w:trPr>
        <w:tc>
          <w:tcPr>
            <w:tcW w:type="dxa" w:w="1368"/>
            <w:vAlign w:val="center"/>
            <w:shd w:fill="FFFFFF"/>
            <w:tcMar>
              <w:top w:w="85" w:type="dxa"/>
              <w:left w:w="85" w:type="dxa"/>
              <w:bottom w:w="85" w:type="dxa"/>
              <w:right w:w="85" w:type="dxa"/>
            </w:tcMar>
          </w:tcPr>
          <w:p>
            <w:pPr>
              <w:spacing w:after="60" w:before="60" w:line="240" w:lineRule="auto"/>
              <w:jc w:val="left"/>
            </w:pPr>
            <w:r>
              <w:rPr>
                <w:rFonts w:ascii="Calibri" w:hAnsi="Calibri"/>
                <w:b w:val="0"/>
                <w:sz w:val="19"/>
              </w:rPr>
              <w:t>2026-07</w:t>
            </w:r>
          </w:p>
        </w:tc>
        <w:tc>
          <w:tcPr>
            <w:tcW w:type="dxa" w:w="792"/>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116</w:t>
            </w:r>
          </w:p>
        </w:tc>
        <w:tc>
          <w:tcPr>
            <w:tcW w:type="dxa" w:w="1944"/>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1.801,00</w:t>
            </w:r>
          </w:p>
        </w:tc>
        <w:tc>
          <w:tcPr>
            <w:tcW w:type="dxa" w:w="936"/>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1,14</w:t>
            </w:r>
          </w:p>
        </w:tc>
        <w:tc>
          <w:tcPr>
            <w:tcW w:type="dxa" w:w="2016"/>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2.186,50</w:t>
            </w:r>
          </w:p>
        </w:tc>
        <w:tc>
          <w:tcPr>
            <w:tcW w:type="dxa" w:w="2304"/>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2.186,50</w:t>
            </w:r>
          </w:p>
        </w:tc>
      </w:tr>
      <w:tr>
        <w:trPr>
          <w:cantSplit/>
        </w:trPr>
        <w:tc>
          <w:tcPr>
            <w:tcW w:type="dxa" w:w="1368"/>
            <w:vAlign w:val="center"/>
            <w:shd w:fill="F6F8FA"/>
            <w:tcMar>
              <w:top w:w="85" w:type="dxa"/>
              <w:left w:w="85" w:type="dxa"/>
              <w:bottom w:w="85" w:type="dxa"/>
              <w:right w:w="85" w:type="dxa"/>
            </w:tcMar>
          </w:tcPr>
          <w:p>
            <w:pPr>
              <w:spacing w:after="60" w:before="60" w:line="240" w:lineRule="auto"/>
              <w:jc w:val="left"/>
            </w:pPr>
            <w:r>
              <w:rPr>
                <w:rFonts w:ascii="Calibri" w:hAnsi="Calibri"/>
                <w:b w:val="0"/>
                <w:sz w:val="19"/>
              </w:rPr>
              <w:t>2026-08</w:t>
            </w:r>
          </w:p>
        </w:tc>
        <w:tc>
          <w:tcPr>
            <w:tcW w:type="dxa" w:w="792"/>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76</w:t>
            </w:r>
          </w:p>
        </w:tc>
        <w:tc>
          <w:tcPr>
            <w:tcW w:type="dxa" w:w="1944"/>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1.969,50</w:t>
            </w:r>
          </w:p>
        </w:tc>
        <w:tc>
          <w:tcPr>
            <w:tcW w:type="dxa" w:w="936"/>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1,25</w:t>
            </w:r>
          </w:p>
        </w:tc>
        <w:tc>
          <w:tcPr>
            <w:tcW w:type="dxa" w:w="2016"/>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2.362,00</w:t>
            </w:r>
          </w:p>
        </w:tc>
        <w:tc>
          <w:tcPr>
            <w:tcW w:type="dxa" w:w="2304"/>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2.362,00</w:t>
            </w:r>
          </w:p>
        </w:tc>
      </w:tr>
      <w:tr>
        <w:trPr>
          <w:cantSplit/>
        </w:trPr>
        <w:tc>
          <w:tcPr>
            <w:tcW w:type="dxa" w:w="1368"/>
            <w:vAlign w:val="center"/>
            <w:shd w:fill="FFFFFF"/>
            <w:tcMar>
              <w:top w:w="85" w:type="dxa"/>
              <w:left w:w="85" w:type="dxa"/>
              <w:bottom w:w="85" w:type="dxa"/>
              <w:right w:w="85" w:type="dxa"/>
            </w:tcMar>
          </w:tcPr>
          <w:p>
            <w:pPr>
              <w:spacing w:after="60" w:before="60" w:line="240" w:lineRule="auto"/>
              <w:jc w:val="left"/>
            </w:pPr>
            <w:r>
              <w:rPr>
                <w:rFonts w:ascii="Calibri" w:hAnsi="Calibri"/>
                <w:b w:val="0"/>
                <w:sz w:val="19"/>
              </w:rPr>
              <w:t>2026-09</w:t>
            </w:r>
          </w:p>
        </w:tc>
        <w:tc>
          <w:tcPr>
            <w:tcW w:type="dxa" w:w="792"/>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1</w:t>
            </w:r>
          </w:p>
        </w:tc>
        <w:tc>
          <w:tcPr>
            <w:tcW w:type="dxa" w:w="1944"/>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207,00</w:t>
            </w:r>
          </w:p>
        </w:tc>
        <w:tc>
          <w:tcPr>
            <w:tcW w:type="dxa" w:w="936"/>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n.d.</w:t>
            </w:r>
          </w:p>
        </w:tc>
        <w:tc>
          <w:tcPr>
            <w:tcW w:type="dxa" w:w="2016"/>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0,00</w:t>
            </w:r>
          </w:p>
        </w:tc>
        <w:tc>
          <w:tcPr>
            <w:tcW w:type="dxa" w:w="2304"/>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1.020,00</w:t>
            </w:r>
          </w:p>
        </w:tc>
      </w:tr>
    </w:tbl>
    <w:p>
      <w:pPr>
        <w:spacing w:after="60"/>
      </w:pPr>
    </w:p>
    <w:p>
      <w:pPr>
        <w:pStyle w:val="Normal"/>
        <w:keepNext/>
      </w:pPr>
      <w:r>
        <w:rPr>
          <w:b w:val="0"/>
        </w:rPr>
        <w:t>Figura 11   PnL mensile senza annualizzare il 2026 parziale</w:t>
      </w:r>
    </w:p>
    <w:p>
      <w:r>
        <w:drawing>
          <wp:inline xmlns:a="http://schemas.openxmlformats.org/drawingml/2006/main" xmlns:pic="http://schemas.openxmlformats.org/drawingml/2006/picture">
            <wp:extent cx="5943600" cy="2759529"/>
            <wp:docPr id="11" name="Picture 11" descr="PnL mensile senza annualizzare il 2026 parziale"/>
            <wp:cNvGraphicFramePr>
              <a:graphicFrameLocks noChangeAspect="1"/>
            </wp:cNvGraphicFramePr>
            <a:graphic>
              <a:graphicData uri="http://schemas.openxmlformats.org/drawingml/2006/picture">
                <pic:pic>
                  <pic:nvPicPr>
                    <pic:cNvPr id="0" name="monthly.png"/>
                    <pic:cNvPicPr/>
                  </pic:nvPicPr>
                  <pic:blipFill>
                    <a:blip r:embed="rId32"/>
                    <a:stretch>
                      <a:fillRect/>
                    </a:stretch>
                  </pic:blipFill>
                  <pic:spPr>
                    <a:xfrm>
                      <a:off x="0" y="0"/>
                      <a:ext cx="5943600" cy="2759529"/>
                    </a:xfrm>
                    <a:prstGeom prst="rect"/>
                  </pic:spPr>
                </pic:pic>
              </a:graphicData>
            </a:graphic>
          </wp:inline>
        </w:drawing>
      </w:r>
    </w:p>
    <w:p>
      <w:pPr>
        <w:pStyle w:val="Heading1"/>
      </w:pPr>
      <w:r>
        <w:t>19 Distribuzione dei rendimenti e asimmetria</w:t>
      </w:r>
    </w:p>
    <w:p>
      <w:pPr>
        <w:pStyle w:val="Normal"/>
      </w:pPr>
      <w:r>
        <w:rPr>
          <w:b w:val="0"/>
        </w:rPr>
        <w:t>Molti moduli hanno target più piccoli degli stop e possono accumulare numerosi profitti piccoli con perdite più rare ma grandi. Il WR va letto insieme al rapporto tra win medio e loss medio. La tabella usa solo il ledger corrente; non trasferisce skewness o kurtosis dal vecchio report CVD.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1440"/>
        <w:gridCol w:w="1440"/>
        <w:gridCol w:w="1224"/>
        <w:gridCol w:w="792"/>
        <w:gridCol w:w="1584"/>
      </w:tblGrid>
      <w:tr>
        <w:trPr>
          <w:cantSplit/>
          <w:tblHeader/>
        </w:trPr>
        <w:tc>
          <w:tcPr>
            <w:tcW w:type="dxa" w:w="2880"/>
            <w:vAlign w:val="center"/>
            <w:shd w:fill="DDEAF2"/>
            <w:tcMar>
              <w:top w:w="85" w:type="dxa"/>
              <w:left w:w="85" w:type="dxa"/>
              <w:bottom w:w="85" w:type="dxa"/>
              <w:right w:w="85" w:type="dxa"/>
            </w:tcMar>
          </w:tcPr>
          <w:p>
            <w:pPr>
              <w:spacing w:after="60" w:before="60" w:line="240" w:lineRule="auto"/>
              <w:jc w:val="left"/>
            </w:pPr>
            <w:r>
              <w:rPr>
                <w:rFonts w:ascii="Calibri" w:hAnsi="Calibri"/>
                <w:b/>
                <w:sz w:val="19"/>
              </w:rPr>
              <w:t>Strategia</w:t>
            </w:r>
          </w:p>
        </w:tc>
        <w:tc>
          <w:tcPr>
            <w:tcW w:type="dxa" w:w="1440"/>
            <w:vAlign w:val="center"/>
            <w:shd w:fill="DDEAF2"/>
            <w:tcMar>
              <w:top w:w="85" w:type="dxa"/>
              <w:left w:w="85" w:type="dxa"/>
              <w:bottom w:w="85" w:type="dxa"/>
              <w:right w:w="85" w:type="dxa"/>
            </w:tcMar>
          </w:tcPr>
          <w:p>
            <w:pPr>
              <w:spacing w:after="60" w:before="60" w:line="240" w:lineRule="auto"/>
              <w:jc w:val="center"/>
            </w:pPr>
            <w:r>
              <w:rPr>
                <w:rFonts w:ascii="Calibri" w:hAnsi="Calibri"/>
                <w:b/>
                <w:sz w:val="19"/>
              </w:rPr>
              <w:t>Win medio</w:t>
            </w:r>
          </w:p>
        </w:tc>
        <w:tc>
          <w:tcPr>
            <w:tcW w:type="dxa" w:w="1440"/>
            <w:vAlign w:val="center"/>
            <w:shd w:fill="DDEAF2"/>
            <w:tcMar>
              <w:top w:w="85" w:type="dxa"/>
              <w:left w:w="85" w:type="dxa"/>
              <w:bottom w:w="85" w:type="dxa"/>
              <w:right w:w="85" w:type="dxa"/>
            </w:tcMar>
          </w:tcPr>
          <w:p>
            <w:pPr>
              <w:spacing w:after="60" w:before="60" w:line="240" w:lineRule="auto"/>
              <w:jc w:val="center"/>
            </w:pPr>
            <w:r>
              <w:rPr>
                <w:rFonts w:ascii="Calibri" w:hAnsi="Calibri"/>
                <w:b/>
                <w:sz w:val="19"/>
              </w:rPr>
              <w:t>Loss medio</w:t>
            </w:r>
          </w:p>
        </w:tc>
        <w:tc>
          <w:tcPr>
            <w:tcW w:type="dxa" w:w="1224"/>
            <w:vAlign w:val="center"/>
            <w:shd w:fill="DDEAF2"/>
            <w:tcMar>
              <w:top w:w="85" w:type="dxa"/>
              <w:left w:w="85" w:type="dxa"/>
              <w:bottom w:w="85" w:type="dxa"/>
              <w:right w:w="85" w:type="dxa"/>
            </w:tcMar>
          </w:tcPr>
          <w:p>
            <w:pPr>
              <w:spacing w:after="60" w:before="60" w:line="240" w:lineRule="auto"/>
              <w:jc w:val="center"/>
            </w:pPr>
            <w:r>
              <w:rPr>
                <w:rFonts w:ascii="Calibri" w:hAnsi="Calibri"/>
                <w:b/>
                <w:sz w:val="19"/>
              </w:rPr>
              <w:t>RR realizzato</w:t>
            </w:r>
          </w:p>
        </w:tc>
        <w:tc>
          <w:tcPr>
            <w:tcW w:type="dxa" w:w="792"/>
            <w:vAlign w:val="center"/>
            <w:shd w:fill="DDEAF2"/>
            <w:tcMar>
              <w:top w:w="85" w:type="dxa"/>
              <w:left w:w="85" w:type="dxa"/>
              <w:bottom w:w="85" w:type="dxa"/>
              <w:right w:w="85" w:type="dxa"/>
            </w:tcMar>
          </w:tcPr>
          <w:p>
            <w:pPr>
              <w:spacing w:after="60" w:before="60" w:line="240" w:lineRule="auto"/>
              <w:jc w:val="center"/>
            </w:pPr>
            <w:r>
              <w:rPr>
                <w:rFonts w:ascii="Calibri" w:hAnsi="Calibri"/>
                <w:b/>
                <w:sz w:val="19"/>
              </w:rPr>
              <w:t>Skew</w:t>
            </w:r>
          </w:p>
        </w:tc>
        <w:tc>
          <w:tcPr>
            <w:tcW w:type="dxa" w:w="1584"/>
            <w:vAlign w:val="center"/>
            <w:shd w:fill="DDEAF2"/>
            <w:tcMar>
              <w:top w:w="85" w:type="dxa"/>
              <w:left w:w="85" w:type="dxa"/>
              <w:bottom w:w="85" w:type="dxa"/>
              <w:right w:w="85" w:type="dxa"/>
            </w:tcMar>
          </w:tcPr>
          <w:p>
            <w:pPr>
              <w:spacing w:after="60" w:before="60" w:line="240" w:lineRule="auto"/>
              <w:jc w:val="center"/>
            </w:pPr>
            <w:r>
              <w:rPr>
                <w:rFonts w:ascii="Calibri" w:hAnsi="Calibri"/>
                <w:b/>
                <w:sz w:val="19"/>
              </w:rPr>
              <w:t>Quantile 5%</w:t>
            </w:r>
          </w:p>
        </w:tc>
      </w:tr>
      <w:tr>
        <w:trPr>
          <w:cantSplit/>
        </w:trPr>
        <w:tc>
          <w:tcPr>
            <w:tcW w:type="dxa" w:w="2880"/>
            <w:vAlign w:val="center"/>
            <w:shd w:fill="FFFFFF"/>
            <w:tcMar>
              <w:top w:w="85" w:type="dxa"/>
              <w:left w:w="85" w:type="dxa"/>
              <w:bottom w:w="85" w:type="dxa"/>
              <w:right w:w="85" w:type="dxa"/>
            </w:tcMar>
          </w:tcPr>
          <w:p>
            <w:pPr>
              <w:spacing w:after="60" w:before="60" w:line="240" w:lineRule="auto"/>
              <w:jc w:val="left"/>
            </w:pPr>
            <w:r>
              <w:rPr>
                <w:rFonts w:ascii="Calibri" w:hAnsi="Calibri"/>
                <w:b w:val="0"/>
                <w:sz w:val="19"/>
              </w:rPr>
              <w:t>CVD M6E</w:t>
            </w:r>
          </w:p>
        </w:tc>
        <w:tc>
          <w:tcPr>
            <w:tcW w:type="dxa" w:w="1440"/>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69,48</w:t>
            </w:r>
          </w:p>
        </w:tc>
        <w:tc>
          <w:tcPr>
            <w:tcW w:type="dxa" w:w="1440"/>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-230,92</w:t>
            </w:r>
          </w:p>
        </w:tc>
        <w:tc>
          <w:tcPr>
            <w:tcW w:type="dxa" w:w="1224"/>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0,30</w:t>
            </w:r>
          </w:p>
        </w:tc>
        <w:tc>
          <w:tcPr>
            <w:tcW w:type="dxa" w:w="792"/>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-2,03</w:t>
            </w:r>
          </w:p>
        </w:tc>
        <w:tc>
          <w:tcPr>
            <w:tcW w:type="dxa" w:w="1584"/>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-231,00</w:t>
            </w:r>
          </w:p>
        </w:tc>
      </w:tr>
      <w:tr>
        <w:trPr>
          <w:cantSplit/>
        </w:trPr>
        <w:tc>
          <w:tcPr>
            <w:tcW w:type="dxa" w:w="2880"/>
            <w:vAlign w:val="center"/>
            <w:shd w:fill="F6F8FA"/>
            <w:tcMar>
              <w:top w:w="85" w:type="dxa"/>
              <w:left w:w="85" w:type="dxa"/>
              <w:bottom w:w="85" w:type="dxa"/>
              <w:right w:w="85" w:type="dxa"/>
            </w:tcMar>
          </w:tcPr>
          <w:p>
            <w:pPr>
              <w:spacing w:after="60" w:before="60" w:line="240" w:lineRule="auto"/>
              <w:jc w:val="left"/>
            </w:pPr>
            <w:r>
              <w:rPr>
                <w:rFonts w:ascii="Calibri" w:hAnsi="Calibri"/>
                <w:b w:val="0"/>
                <w:sz w:val="19"/>
              </w:rPr>
              <w:t>Impulso MNQ</w:t>
            </w:r>
          </w:p>
        </w:tc>
        <w:tc>
          <w:tcPr>
            <w:tcW w:type="dxa" w:w="1440"/>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221,35</w:t>
            </w:r>
          </w:p>
        </w:tc>
        <w:tc>
          <w:tcPr>
            <w:tcW w:type="dxa" w:w="1440"/>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-483,09</w:t>
            </w:r>
          </w:p>
        </w:tc>
        <w:tc>
          <w:tcPr>
            <w:tcW w:type="dxa" w:w="1224"/>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0,46</w:t>
            </w:r>
          </w:p>
        </w:tc>
        <w:tc>
          <w:tcPr>
            <w:tcW w:type="dxa" w:w="792"/>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-1,01</w:t>
            </w:r>
          </w:p>
        </w:tc>
        <w:tc>
          <w:tcPr>
            <w:tcW w:type="dxa" w:w="1584"/>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-492,00</w:t>
            </w:r>
          </w:p>
        </w:tc>
      </w:tr>
      <w:tr>
        <w:trPr>
          <w:cantSplit/>
        </w:trPr>
        <w:tc>
          <w:tcPr>
            <w:tcW w:type="dxa" w:w="2880"/>
            <w:vAlign w:val="center"/>
            <w:shd w:fill="FFFFFF"/>
            <w:tcMar>
              <w:top w:w="85" w:type="dxa"/>
              <w:left w:w="85" w:type="dxa"/>
              <w:bottom w:w="85" w:type="dxa"/>
              <w:right w:w="85" w:type="dxa"/>
            </w:tcMar>
          </w:tcPr>
          <w:p>
            <w:pPr>
              <w:spacing w:after="60" w:before="60" w:line="240" w:lineRule="auto"/>
              <w:jc w:val="left"/>
            </w:pPr>
            <w:r>
              <w:rPr>
                <w:rFonts w:ascii="Calibri" w:hAnsi="Calibri"/>
                <w:b w:val="0"/>
                <w:sz w:val="19"/>
              </w:rPr>
              <w:t>CAD fade MCD</w:t>
            </w:r>
          </w:p>
        </w:tc>
        <w:tc>
          <w:tcPr>
            <w:tcW w:type="dxa" w:w="1440"/>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408,27</w:t>
            </w:r>
          </w:p>
        </w:tc>
        <w:tc>
          <w:tcPr>
            <w:tcW w:type="dxa" w:w="1440"/>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-416,57</w:t>
            </w:r>
          </w:p>
        </w:tc>
        <w:tc>
          <w:tcPr>
            <w:tcW w:type="dxa" w:w="1224"/>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0,98</w:t>
            </w:r>
          </w:p>
        </w:tc>
        <w:tc>
          <w:tcPr>
            <w:tcW w:type="dxa" w:w="792"/>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-0,21</w:t>
            </w:r>
          </w:p>
        </w:tc>
        <w:tc>
          <w:tcPr>
            <w:tcW w:type="dxa" w:w="1584"/>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-483,00</w:t>
            </w:r>
          </w:p>
        </w:tc>
      </w:tr>
      <w:tr>
        <w:trPr>
          <w:cantSplit/>
        </w:trPr>
        <w:tc>
          <w:tcPr>
            <w:tcW w:type="dxa" w:w="2880"/>
            <w:vAlign w:val="center"/>
            <w:shd w:fill="F6F8FA"/>
            <w:tcMar>
              <w:top w:w="85" w:type="dxa"/>
              <w:left w:w="85" w:type="dxa"/>
              <w:bottom w:w="85" w:type="dxa"/>
              <w:right w:w="85" w:type="dxa"/>
            </w:tcMar>
          </w:tcPr>
          <w:p>
            <w:pPr>
              <w:spacing w:after="60" w:before="60" w:line="240" w:lineRule="auto"/>
              <w:jc w:val="left"/>
            </w:pPr>
            <w:r>
              <w:rPr>
                <w:rFonts w:ascii="Calibri" w:hAnsi="Calibri"/>
                <w:b w:val="0"/>
                <w:sz w:val="19"/>
              </w:rPr>
              <w:t>VXN reversal MNQ</w:t>
            </w:r>
          </w:p>
        </w:tc>
        <w:tc>
          <w:tcPr>
            <w:tcW w:type="dxa" w:w="1440"/>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248,12</w:t>
            </w:r>
          </w:p>
        </w:tc>
        <w:tc>
          <w:tcPr>
            <w:tcW w:type="dxa" w:w="1440"/>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-423,65</w:t>
            </w:r>
          </w:p>
        </w:tc>
        <w:tc>
          <w:tcPr>
            <w:tcW w:type="dxa" w:w="1224"/>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0,59</w:t>
            </w:r>
          </w:p>
        </w:tc>
        <w:tc>
          <w:tcPr>
            <w:tcW w:type="dxa" w:w="792"/>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-1,04</w:t>
            </w:r>
          </w:p>
        </w:tc>
        <w:tc>
          <w:tcPr>
            <w:tcW w:type="dxa" w:w="1584"/>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-481,00</w:t>
            </w:r>
          </w:p>
        </w:tc>
      </w:tr>
      <w:tr>
        <w:trPr>
          <w:cantSplit/>
        </w:trPr>
        <w:tc>
          <w:tcPr>
            <w:tcW w:type="dxa" w:w="2880"/>
            <w:vAlign w:val="center"/>
            <w:shd w:fill="FFFFFF"/>
            <w:tcMar>
              <w:top w:w="85" w:type="dxa"/>
              <w:left w:w="85" w:type="dxa"/>
              <w:bottom w:w="85" w:type="dxa"/>
              <w:right w:w="85" w:type="dxa"/>
            </w:tcMar>
          </w:tcPr>
          <w:p>
            <w:pPr>
              <w:spacing w:after="60" w:before="60" w:line="240" w:lineRule="auto"/>
              <w:jc w:val="left"/>
            </w:pPr>
            <w:r>
              <w:rPr>
                <w:rFonts w:ascii="Calibri" w:hAnsi="Calibri"/>
                <w:b w:val="0"/>
                <w:sz w:val="19"/>
              </w:rPr>
              <w:t>Overnight MNQ</w:t>
            </w:r>
          </w:p>
        </w:tc>
        <w:tc>
          <w:tcPr>
            <w:tcW w:type="dxa" w:w="1440"/>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317,92</w:t>
            </w:r>
          </w:p>
        </w:tc>
        <w:tc>
          <w:tcPr>
            <w:tcW w:type="dxa" w:w="1440"/>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-268,85</w:t>
            </w:r>
          </w:p>
        </w:tc>
        <w:tc>
          <w:tcPr>
            <w:tcW w:type="dxa" w:w="1224"/>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1,18</w:t>
            </w:r>
          </w:p>
        </w:tc>
        <w:tc>
          <w:tcPr>
            <w:tcW w:type="dxa" w:w="792"/>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1,03</w:t>
            </w:r>
          </w:p>
        </w:tc>
        <w:tc>
          <w:tcPr>
            <w:tcW w:type="dxa" w:w="1584"/>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-466,30</w:t>
            </w:r>
          </w:p>
        </w:tc>
      </w:tr>
      <w:tr>
        <w:trPr>
          <w:cantSplit/>
        </w:trPr>
        <w:tc>
          <w:tcPr>
            <w:tcW w:type="dxa" w:w="2880"/>
            <w:vAlign w:val="center"/>
            <w:shd w:fill="F6F8FA"/>
            <w:tcMar>
              <w:top w:w="85" w:type="dxa"/>
              <w:left w:w="85" w:type="dxa"/>
              <w:bottom w:w="85" w:type="dxa"/>
              <w:right w:w="85" w:type="dxa"/>
            </w:tcMar>
          </w:tcPr>
          <w:p>
            <w:pPr>
              <w:spacing w:after="60" w:before="60" w:line="240" w:lineRule="auto"/>
              <w:jc w:val="left"/>
            </w:pPr>
            <w:r>
              <w:rPr>
                <w:rFonts w:ascii="Calibri" w:hAnsi="Calibri"/>
                <w:b w:val="0"/>
                <w:sz w:val="19"/>
              </w:rPr>
              <w:t>Vault MNQ</w:t>
            </w:r>
          </w:p>
        </w:tc>
        <w:tc>
          <w:tcPr>
            <w:tcW w:type="dxa" w:w="1440"/>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225,90</w:t>
            </w:r>
          </w:p>
        </w:tc>
        <w:tc>
          <w:tcPr>
            <w:tcW w:type="dxa" w:w="1440"/>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-361,93</w:t>
            </w:r>
          </w:p>
        </w:tc>
        <w:tc>
          <w:tcPr>
            <w:tcW w:type="dxa" w:w="1224"/>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0,62</w:t>
            </w:r>
          </w:p>
        </w:tc>
        <w:tc>
          <w:tcPr>
            <w:tcW w:type="dxa" w:w="792"/>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-0,94</w:t>
            </w:r>
          </w:p>
        </w:tc>
        <w:tc>
          <w:tcPr>
            <w:tcW w:type="dxa" w:w="1584"/>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-454,50</w:t>
            </w:r>
          </w:p>
        </w:tc>
      </w:tr>
    </w:tbl>
    <w:p>
      <w:pPr>
        <w:spacing w:after="60"/>
      </w:pPr>
    </w:p>
    <w:p>
      <w:pPr>
        <w:pStyle w:val="Normal"/>
      </w:pPr>
      <w:r>
        <w:rPr>
          <w:b w:val="0"/>
        </w:rPr>
        <w:t>Il rapporto realizzato è win medio diviso loss medio assoluto, non il rapporto TP SL dichiarato. Costi, gap, time exit e size variabile possono modificarlo. Quantile 5% descrive la distribuzione storica e non limita le perdite future.</w:t>
      </w:r>
    </w:p>
    <w:p>
      <w:pPr>
        <w:pStyle w:val="Heading1"/>
      </w:pPr>
      <w:r>
        <w:t>20 Bootstrap temporale del portafoglio</w:t>
      </w:r>
    </w:p>
    <w:p>
      <w:pPr>
        <w:pStyle w:val="Normal"/>
      </w:pPr>
      <w:r>
        <w:rPr>
          <w:b w:val="0"/>
        </w:rPr>
        <w:t>Ho ricampionato la serie giornaliera consolidata con blocchi mobili circolari da 5, 10 e 20 business day, 10.000 iterazioni per lunghezza e seed riproducibile 20261014. Ogni giorno mantiene insieme le componenti: non ricampiono in modo indipendente le strategie e non distruggo le coesposizioni. Per ogni replica ricostruisco PnL, numero righe, win rate e PF dalle somme giornaliere positive e negative.</w:t>
      </w:r>
    </w:p>
    <w:p>
      <w:pPr>
        <w:pStyle w:val="Normal"/>
      </w:pPr>
      <w:r>
        <w:rPr>
          <w:b w:val="0"/>
        </w:rPr>
        <w:t>Gli intervalli sono condizionati alle operazioni già selezionate. Non correggono la ricerca dei parametri, non verificano i fill e non sono probabilità che l’edge sia vero. Il DD bootstrap è calcolato su chiusure giornaliere; non coincide con il DD intragiornaliero a trade chiusi della tabella principale.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52"/>
        <w:gridCol w:w="2448"/>
        <w:gridCol w:w="1872"/>
        <w:gridCol w:w="1872"/>
        <w:gridCol w:w="2016"/>
      </w:tblGrid>
      <w:tr>
        <w:trPr>
          <w:cantSplit/>
          <w:tblHeader/>
        </w:trPr>
        <w:tc>
          <w:tcPr>
            <w:tcW w:type="dxa" w:w="1152"/>
            <w:vAlign w:val="center"/>
            <w:shd w:fill="DDEAF2"/>
            <w:tcMar>
              <w:top w:w="85" w:type="dxa"/>
              <w:left w:w="85" w:type="dxa"/>
              <w:bottom w:w="85" w:type="dxa"/>
              <w:right w:w="85" w:type="dxa"/>
            </w:tcMar>
          </w:tcPr>
          <w:p>
            <w:pPr>
              <w:spacing w:after="60" w:before="60" w:line="240" w:lineRule="auto"/>
              <w:jc w:val="left"/>
            </w:pPr>
            <w:r>
              <w:rPr>
                <w:rFonts w:ascii="Calibri" w:hAnsi="Calibri"/>
                <w:b/>
                <w:sz w:val="19"/>
              </w:rPr>
              <w:t>Blocco giorni</w:t>
            </w:r>
          </w:p>
        </w:tc>
        <w:tc>
          <w:tcPr>
            <w:tcW w:type="dxa" w:w="2448"/>
            <w:vAlign w:val="center"/>
            <w:shd w:fill="DDEAF2"/>
            <w:tcMar>
              <w:top w:w="85" w:type="dxa"/>
              <w:left w:w="85" w:type="dxa"/>
              <w:bottom w:w="85" w:type="dxa"/>
              <w:right w:w="85" w:type="dxa"/>
            </w:tcMar>
          </w:tcPr>
          <w:p>
            <w:pPr>
              <w:spacing w:after="60" w:before="60" w:line="240" w:lineRule="auto"/>
              <w:jc w:val="center"/>
            </w:pPr>
            <w:r>
              <w:rPr>
                <w:rFonts w:ascii="Calibri" w:hAnsi="Calibri"/>
                <w:b/>
                <w:sz w:val="19"/>
              </w:rPr>
              <w:t>CI 95% exp USD</w:t>
            </w:r>
          </w:p>
        </w:tc>
        <w:tc>
          <w:tcPr>
            <w:tcW w:type="dxa" w:w="1872"/>
            <w:vAlign w:val="center"/>
            <w:shd w:fill="DDEAF2"/>
            <w:tcMar>
              <w:top w:w="85" w:type="dxa"/>
              <w:left w:w="85" w:type="dxa"/>
              <w:bottom w:w="85" w:type="dxa"/>
              <w:right w:w="85" w:type="dxa"/>
            </w:tcMar>
          </w:tcPr>
          <w:p>
            <w:pPr>
              <w:spacing w:after="60" w:before="60" w:line="240" w:lineRule="auto"/>
              <w:jc w:val="center"/>
            </w:pPr>
            <w:r>
              <w:rPr>
                <w:rFonts w:ascii="Calibri" w:hAnsi="Calibri"/>
                <w:b/>
                <w:sz w:val="19"/>
              </w:rPr>
              <w:t>CI 95% PF</w:t>
            </w:r>
          </w:p>
        </w:tc>
        <w:tc>
          <w:tcPr>
            <w:tcW w:type="dxa" w:w="1872"/>
            <w:vAlign w:val="center"/>
            <w:shd w:fill="DDEAF2"/>
            <w:tcMar>
              <w:top w:w="85" w:type="dxa"/>
              <w:left w:w="85" w:type="dxa"/>
              <w:bottom w:w="85" w:type="dxa"/>
              <w:right w:w="85" w:type="dxa"/>
            </w:tcMar>
          </w:tcPr>
          <w:p>
            <w:pPr>
              <w:spacing w:after="60" w:before="60" w:line="240" w:lineRule="auto"/>
              <w:jc w:val="center"/>
            </w:pPr>
            <w:r>
              <w:rPr>
                <w:rFonts w:ascii="Calibri" w:hAnsi="Calibri"/>
                <w:b/>
                <w:sz w:val="19"/>
              </w:rPr>
              <w:t>CI 95% WR</w:t>
            </w:r>
          </w:p>
        </w:tc>
        <w:tc>
          <w:tcPr>
            <w:tcW w:type="dxa" w:w="2016"/>
            <w:vAlign w:val="center"/>
            <w:shd w:fill="DDEAF2"/>
            <w:tcMar>
              <w:top w:w="85" w:type="dxa"/>
              <w:left w:w="85" w:type="dxa"/>
              <w:bottom w:w="85" w:type="dxa"/>
              <w:right w:w="85" w:type="dxa"/>
            </w:tcMar>
          </w:tcPr>
          <w:p>
            <w:pPr>
              <w:spacing w:after="60" w:before="60" w:line="240" w:lineRule="auto"/>
              <w:jc w:val="center"/>
            </w:pPr>
            <w:r>
              <w:rPr>
                <w:rFonts w:ascii="Calibri" w:hAnsi="Calibri"/>
                <w:b/>
                <w:sz w:val="19"/>
              </w:rPr>
              <w:t>Repliche con PnL positivo</w:t>
            </w:r>
          </w:p>
        </w:tc>
      </w:tr>
      <w:tr>
        <w:trPr>
          <w:cantSplit/>
        </w:trPr>
        <w:tc>
          <w:tcPr>
            <w:tcW w:type="dxa" w:w="1152"/>
            <w:vAlign w:val="center"/>
            <w:shd w:fill="FFFFFF"/>
            <w:tcMar>
              <w:top w:w="85" w:type="dxa"/>
              <w:left w:w="85" w:type="dxa"/>
              <w:bottom w:w="85" w:type="dxa"/>
              <w:right w:w="85" w:type="dxa"/>
            </w:tcMar>
          </w:tcPr>
          <w:p>
            <w:pPr>
              <w:spacing w:after="60" w:before="60" w:line="240" w:lineRule="auto"/>
              <w:jc w:val="left"/>
            </w:pPr>
            <w:r>
              <w:rPr>
                <w:rFonts w:ascii="Calibri" w:hAnsi="Calibri"/>
                <w:b w:val="0"/>
                <w:sz w:val="19"/>
              </w:rPr>
              <w:t>5</w:t>
            </w:r>
          </w:p>
        </w:tc>
        <w:tc>
          <w:tcPr>
            <w:tcW w:type="dxa" w:w="2448"/>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24,82 / 56,00</w:t>
            </w:r>
          </w:p>
        </w:tc>
        <w:tc>
          <w:tcPr>
            <w:tcW w:type="dxa" w:w="1872"/>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1,21 / 1,56</w:t>
            </w:r>
          </w:p>
        </w:tc>
        <w:tc>
          <w:tcPr>
            <w:tcW w:type="dxa" w:w="1872"/>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68,56 / 73,45</w:t>
            </w:r>
          </w:p>
        </w:tc>
        <w:tc>
          <w:tcPr>
            <w:tcW w:type="dxa" w:w="2016"/>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100,00%</w:t>
            </w:r>
          </w:p>
        </w:tc>
      </w:tr>
      <w:tr>
        <w:trPr>
          <w:cantSplit/>
        </w:trPr>
        <w:tc>
          <w:tcPr>
            <w:tcW w:type="dxa" w:w="1152"/>
            <w:vAlign w:val="center"/>
            <w:shd w:fill="F6F8FA"/>
            <w:tcMar>
              <w:top w:w="85" w:type="dxa"/>
              <w:left w:w="85" w:type="dxa"/>
              <w:bottom w:w="85" w:type="dxa"/>
              <w:right w:w="85" w:type="dxa"/>
            </w:tcMar>
          </w:tcPr>
          <w:p>
            <w:pPr>
              <w:spacing w:after="60" w:before="60" w:line="240" w:lineRule="auto"/>
              <w:jc w:val="left"/>
            </w:pPr>
            <w:r>
              <w:rPr>
                <w:rFonts w:ascii="Calibri" w:hAnsi="Calibri"/>
                <w:b w:val="0"/>
                <w:sz w:val="19"/>
              </w:rPr>
              <w:t>10</w:t>
            </w:r>
          </w:p>
        </w:tc>
        <w:tc>
          <w:tcPr>
            <w:tcW w:type="dxa" w:w="2448"/>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24,76 / 54,85</w:t>
            </w:r>
          </w:p>
        </w:tc>
        <w:tc>
          <w:tcPr>
            <w:tcW w:type="dxa" w:w="1872"/>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1,21 / 1,54</w:t>
            </w:r>
          </w:p>
        </w:tc>
        <w:tc>
          <w:tcPr>
            <w:tcW w:type="dxa" w:w="1872"/>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68,56 / 73,27</w:t>
            </w:r>
          </w:p>
        </w:tc>
        <w:tc>
          <w:tcPr>
            <w:tcW w:type="dxa" w:w="2016"/>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100,00%</w:t>
            </w:r>
          </w:p>
        </w:tc>
      </w:tr>
      <w:tr>
        <w:trPr>
          <w:cantSplit/>
        </w:trPr>
        <w:tc>
          <w:tcPr>
            <w:tcW w:type="dxa" w:w="1152"/>
            <w:vAlign w:val="center"/>
            <w:shd w:fill="FFFFFF"/>
            <w:tcMar>
              <w:top w:w="85" w:type="dxa"/>
              <w:left w:w="85" w:type="dxa"/>
              <w:bottom w:w="85" w:type="dxa"/>
              <w:right w:w="85" w:type="dxa"/>
            </w:tcMar>
          </w:tcPr>
          <w:p>
            <w:pPr>
              <w:spacing w:after="60" w:before="60" w:line="240" w:lineRule="auto"/>
              <w:jc w:val="left"/>
            </w:pPr>
            <w:r>
              <w:rPr>
                <w:rFonts w:ascii="Calibri" w:hAnsi="Calibri"/>
                <w:b w:val="0"/>
                <w:sz w:val="19"/>
              </w:rPr>
              <w:t>20</w:t>
            </w:r>
          </w:p>
        </w:tc>
        <w:tc>
          <w:tcPr>
            <w:tcW w:type="dxa" w:w="2448"/>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24,97 / 54,83</w:t>
            </w:r>
          </w:p>
        </w:tc>
        <w:tc>
          <w:tcPr>
            <w:tcW w:type="dxa" w:w="1872"/>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1,22 / 1,54</w:t>
            </w:r>
          </w:p>
        </w:tc>
        <w:tc>
          <w:tcPr>
            <w:tcW w:type="dxa" w:w="1872"/>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68,51 / 73,28</w:t>
            </w:r>
          </w:p>
        </w:tc>
        <w:tc>
          <w:tcPr>
            <w:tcW w:type="dxa" w:w="2016"/>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100,00%</w:t>
            </w:r>
          </w:p>
        </w:tc>
      </w:tr>
    </w:tbl>
    <w:p>
      <w:pPr>
        <w:spacing w:after="60"/>
      </w:pPr>
    </w:p>
    <w:p>
      <w:pPr>
        <w:pStyle w:val="Normal"/>
      </w:pPr>
      <w:r>
        <w:rPr>
          <w:b w:val="0"/>
        </w:rPr>
        <w:t>Se gli intervalli restano positivi è evidenza di stabilità condizionata del ledger, non la dimostrazione che ogni filtro aggiunge valore. Il test corretto di un filtro richiede confrontare la variazione rispetto alla base sui medesimi giorni, con bootstrap appaiato; la profittabilità autonoma del sottogruppo non basta.</w:t>
      </w:r>
    </w:p>
    <w:p>
      <w:pPr>
        <w:pStyle w:val="Heading1"/>
      </w:pPr>
      <w:r>
        <w:t>21 Monte Carlo sul rischio del percorso</w:t>
      </w:r>
    </w:p>
    <w:p>
      <w:pPr>
        <w:pStyle w:val="Normal"/>
      </w:pPr>
      <w:r>
        <w:rPr>
          <w:b w:val="0"/>
        </w:rPr>
        <w:t>La simulazione separata usa 10.000 permutazioni dell’ordine dei trade. PnL finale e insieme dei rendimenti sono identici in ogni replica; cambiano DD e sequenze di loss. Non la interpreto come un test contro entrate casuali né come un modello completo del prossimo regime. Mescola righe di sleeve e setup e perde la struttura temporale, perciò è una verifica di percorso complementare al bootstrap a giorni.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2016"/>
        <w:gridCol w:w="2016"/>
        <w:gridCol w:w="2016"/>
      </w:tblGrid>
      <w:tr>
        <w:trPr>
          <w:cantSplit/>
          <w:tblHeader/>
        </w:trPr>
        <w:tc>
          <w:tcPr>
            <w:tcW w:type="dxa" w:w="3312"/>
            <w:vAlign w:val="center"/>
            <w:shd w:fill="DDEAF2"/>
            <w:tcMar>
              <w:top w:w="85" w:type="dxa"/>
              <w:left w:w="85" w:type="dxa"/>
              <w:bottom w:w="85" w:type="dxa"/>
              <w:right w:w="85" w:type="dxa"/>
            </w:tcMar>
          </w:tcPr>
          <w:p>
            <w:pPr>
              <w:spacing w:after="60" w:before="60" w:line="240" w:lineRule="auto"/>
              <w:jc w:val="left"/>
            </w:pPr>
            <w:r>
              <w:rPr>
                <w:rFonts w:ascii="Calibri" w:hAnsi="Calibri"/>
                <w:b/>
                <w:sz w:val="19"/>
              </w:rPr>
              <w:t>Metrica</w:t>
            </w:r>
          </w:p>
        </w:tc>
        <w:tc>
          <w:tcPr>
            <w:tcW w:type="dxa" w:w="2016"/>
            <w:vAlign w:val="center"/>
            <w:shd w:fill="DDEAF2"/>
            <w:tcMar>
              <w:top w:w="85" w:type="dxa"/>
              <w:left w:w="85" w:type="dxa"/>
              <w:bottom w:w="85" w:type="dxa"/>
              <w:right w:w="85" w:type="dxa"/>
            </w:tcMar>
          </w:tcPr>
          <w:p>
            <w:pPr>
              <w:spacing w:after="60" w:before="60" w:line="240" w:lineRule="auto"/>
              <w:jc w:val="center"/>
            </w:pPr>
            <w:r>
              <w:rPr>
                <w:rFonts w:ascii="Calibri" w:hAnsi="Calibri"/>
                <w:b/>
                <w:sz w:val="19"/>
              </w:rPr>
              <w:t>Percentile 5</w:t>
            </w:r>
          </w:p>
        </w:tc>
        <w:tc>
          <w:tcPr>
            <w:tcW w:type="dxa" w:w="2016"/>
            <w:vAlign w:val="center"/>
            <w:shd w:fill="DDEAF2"/>
            <w:tcMar>
              <w:top w:w="85" w:type="dxa"/>
              <w:left w:w="85" w:type="dxa"/>
              <w:bottom w:w="85" w:type="dxa"/>
              <w:right w:w="85" w:type="dxa"/>
            </w:tcMar>
          </w:tcPr>
          <w:p>
            <w:pPr>
              <w:spacing w:after="60" w:before="60" w:line="240" w:lineRule="auto"/>
              <w:jc w:val="center"/>
            </w:pPr>
            <w:r>
              <w:rPr>
                <w:rFonts w:ascii="Calibri" w:hAnsi="Calibri"/>
                <w:b/>
                <w:sz w:val="19"/>
              </w:rPr>
              <w:t>Mediana</w:t>
            </w:r>
          </w:p>
        </w:tc>
        <w:tc>
          <w:tcPr>
            <w:tcW w:type="dxa" w:w="2016"/>
            <w:vAlign w:val="center"/>
            <w:shd w:fill="DDEAF2"/>
            <w:tcMar>
              <w:top w:w="85" w:type="dxa"/>
              <w:left w:w="85" w:type="dxa"/>
              <w:bottom w:w="85" w:type="dxa"/>
              <w:right w:w="85" w:type="dxa"/>
            </w:tcMar>
          </w:tcPr>
          <w:p>
            <w:pPr>
              <w:spacing w:after="60" w:before="60" w:line="240" w:lineRule="auto"/>
              <w:jc w:val="center"/>
            </w:pPr>
            <w:r>
              <w:rPr>
                <w:rFonts w:ascii="Calibri" w:hAnsi="Calibri"/>
                <w:b/>
                <w:sz w:val="19"/>
              </w:rPr>
              <w:t>Percentile 95</w:t>
            </w:r>
          </w:p>
        </w:tc>
      </w:tr>
      <w:tr>
        <w:trPr>
          <w:cantSplit/>
        </w:trPr>
        <w:tc>
          <w:tcPr>
            <w:tcW w:type="dxa" w:w="3312"/>
            <w:vAlign w:val="center"/>
            <w:shd w:fill="FFFFFF"/>
            <w:tcMar>
              <w:top w:w="85" w:type="dxa"/>
              <w:left w:w="85" w:type="dxa"/>
              <w:bottom w:w="85" w:type="dxa"/>
              <w:right w:w="85" w:type="dxa"/>
            </w:tcMar>
          </w:tcPr>
          <w:p>
            <w:pPr>
              <w:spacing w:after="60" w:before="60" w:line="240" w:lineRule="auto"/>
              <w:jc w:val="left"/>
            </w:pPr>
            <w:r>
              <w:rPr>
                <w:rFonts w:ascii="Calibri" w:hAnsi="Calibri"/>
                <w:b w:val="0"/>
                <w:sz w:val="19"/>
              </w:rPr>
              <w:t>DD a trade chiusi USD</w:t>
            </w:r>
          </w:p>
        </w:tc>
        <w:tc>
          <w:tcPr>
            <w:tcW w:type="dxa" w:w="2016"/>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3.479,95</w:t>
            </w:r>
          </w:p>
        </w:tc>
        <w:tc>
          <w:tcPr>
            <w:tcW w:type="dxa" w:w="2016"/>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4.803,75</w:t>
            </w:r>
          </w:p>
        </w:tc>
        <w:tc>
          <w:tcPr>
            <w:tcW w:type="dxa" w:w="2016"/>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7.329,65</w:t>
            </w:r>
          </w:p>
        </w:tc>
      </w:tr>
      <w:tr>
        <w:trPr>
          <w:cantSplit/>
        </w:trPr>
        <w:tc>
          <w:tcPr>
            <w:tcW w:type="dxa" w:w="3312"/>
            <w:vAlign w:val="center"/>
            <w:shd w:fill="F6F8FA"/>
            <w:tcMar>
              <w:top w:w="85" w:type="dxa"/>
              <w:left w:w="85" w:type="dxa"/>
              <w:bottom w:w="85" w:type="dxa"/>
              <w:right w:w="85" w:type="dxa"/>
            </w:tcMar>
          </w:tcPr>
          <w:p>
            <w:pPr>
              <w:spacing w:after="60" w:before="60" w:line="240" w:lineRule="auto"/>
              <w:jc w:val="left"/>
            </w:pPr>
            <w:r>
              <w:rPr>
                <w:rFonts w:ascii="Calibri" w:hAnsi="Calibri"/>
                <w:b w:val="0"/>
                <w:sz w:val="19"/>
              </w:rPr>
              <w:t>Massima sequenza di loss</w:t>
            </w:r>
          </w:p>
        </w:tc>
        <w:tc>
          <w:tcPr>
            <w:tcW w:type="dxa" w:w="2016"/>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4</w:t>
            </w:r>
          </w:p>
        </w:tc>
        <w:tc>
          <w:tcPr>
            <w:tcW w:type="dxa" w:w="2016"/>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5</w:t>
            </w:r>
          </w:p>
        </w:tc>
        <w:tc>
          <w:tcPr>
            <w:tcW w:type="dxa" w:w="2016"/>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8</w:t>
            </w:r>
          </w:p>
        </w:tc>
      </w:tr>
    </w:tbl>
    <w:p>
      <w:pPr>
        <w:spacing w:after="60"/>
      </w:pPr>
    </w:p>
    <w:p>
      <w:pPr>
        <w:pStyle w:val="Normal"/>
      </w:pPr>
      <w:r>
        <w:rPr>
          <w:b w:val="0"/>
        </w:rPr>
        <w:t>Il totale resta 62.213 USD in tutte le permutazioni per costruzione. Per simulare perdite permanenti di edge o crescita di capitale occorre un modello differente, con variazione di distribuzione, regole di sizing e vincoli account.</w:t>
      </w:r>
    </w:p>
    <w:p>
      <w:pPr>
        <w:pStyle w:val="Heading1"/>
      </w:pPr>
      <w:r>
        <w:t>22 Autocorrelazione e dipendenza</w:t>
      </w:r>
    </w:p>
    <w:p>
      <w:pPr>
        <w:pStyle w:val="Normal"/>
      </w:pPr>
      <w:r>
        <w:rPr>
          <w:b w:val="0"/>
        </w:rPr>
        <w:t>Calcolo la correlazione lag 1 della sequenza di PnL per modulo, dopo ordinamento stabile del timestamp. È una misura descrittiva: setup con due gambe e posizioni sovrapposte possono generare dipendenza. Non uso un t test IID come certificazione di significatività.</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760"/>
        <w:gridCol w:w="3600"/>
      </w:tblGrid>
      <w:tr>
        <w:trPr>
          <w:cantSplit/>
          <w:tblHeader/>
        </w:trPr>
        <w:tc>
          <w:tcPr>
            <w:tcW w:type="dxa" w:w="5760"/>
            <w:vAlign w:val="center"/>
            <w:shd w:fill="DDEAF2"/>
            <w:tcMar>
              <w:top w:w="85" w:type="dxa"/>
              <w:left w:w="85" w:type="dxa"/>
              <w:bottom w:w="85" w:type="dxa"/>
              <w:right w:w="85" w:type="dxa"/>
            </w:tcMar>
          </w:tcPr>
          <w:p>
            <w:pPr>
              <w:spacing w:after="60" w:before="60" w:line="240" w:lineRule="auto"/>
              <w:jc w:val="left"/>
            </w:pPr>
            <w:r>
              <w:rPr>
                <w:rFonts w:ascii="Calibri" w:hAnsi="Calibri"/>
                <w:b/>
                <w:sz w:val="19"/>
              </w:rPr>
              <w:t>Modulo</w:t>
            </w:r>
          </w:p>
        </w:tc>
        <w:tc>
          <w:tcPr>
            <w:tcW w:type="dxa" w:w="3600"/>
            <w:vAlign w:val="center"/>
            <w:shd w:fill="DDEAF2"/>
            <w:tcMar>
              <w:top w:w="85" w:type="dxa"/>
              <w:left w:w="85" w:type="dxa"/>
              <w:bottom w:w="85" w:type="dxa"/>
              <w:right w:w="85" w:type="dxa"/>
            </w:tcMar>
          </w:tcPr>
          <w:p>
            <w:pPr>
              <w:spacing w:after="60" w:before="60" w:line="240" w:lineRule="auto"/>
              <w:jc w:val="center"/>
            </w:pPr>
            <w:r>
              <w:rPr>
                <w:rFonts w:ascii="Calibri" w:hAnsi="Calibri"/>
                <w:b/>
                <w:sz w:val="19"/>
              </w:rPr>
              <w:t>ACF trade lag 1</w:t>
            </w:r>
          </w:p>
        </w:tc>
      </w:tr>
      <w:tr>
        <w:trPr>
          <w:cantSplit/>
        </w:trPr>
        <w:tc>
          <w:tcPr>
            <w:tcW w:type="dxa" w:w="5760"/>
            <w:vAlign w:val="center"/>
            <w:shd w:fill="FFFFFF"/>
            <w:tcMar>
              <w:top w:w="85" w:type="dxa"/>
              <w:left w:w="85" w:type="dxa"/>
              <w:bottom w:w="85" w:type="dxa"/>
              <w:right w:w="85" w:type="dxa"/>
            </w:tcMar>
          </w:tcPr>
          <w:p>
            <w:pPr>
              <w:spacing w:after="60" w:before="60" w:line="240" w:lineRule="auto"/>
              <w:jc w:val="left"/>
            </w:pPr>
            <w:r>
              <w:rPr>
                <w:rFonts w:ascii="Calibri" w:hAnsi="Calibri"/>
                <w:b w:val="0"/>
                <w:sz w:val="19"/>
              </w:rPr>
              <w:t>CVD M6E</w:t>
            </w:r>
          </w:p>
        </w:tc>
        <w:tc>
          <w:tcPr>
            <w:tcW w:type="dxa" w:w="3600"/>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0,225</w:t>
            </w:r>
          </w:p>
        </w:tc>
      </w:tr>
      <w:tr>
        <w:trPr>
          <w:cantSplit/>
        </w:trPr>
        <w:tc>
          <w:tcPr>
            <w:tcW w:type="dxa" w:w="5760"/>
            <w:vAlign w:val="center"/>
            <w:shd w:fill="F6F8FA"/>
            <w:tcMar>
              <w:top w:w="85" w:type="dxa"/>
              <w:left w:w="85" w:type="dxa"/>
              <w:bottom w:w="85" w:type="dxa"/>
              <w:right w:w="85" w:type="dxa"/>
            </w:tcMar>
          </w:tcPr>
          <w:p>
            <w:pPr>
              <w:spacing w:after="60" w:before="60" w:line="240" w:lineRule="auto"/>
              <w:jc w:val="left"/>
            </w:pPr>
            <w:r>
              <w:rPr>
                <w:rFonts w:ascii="Calibri" w:hAnsi="Calibri"/>
                <w:b w:val="0"/>
                <w:sz w:val="19"/>
              </w:rPr>
              <w:t>Impulso MNQ</w:t>
            </w:r>
          </w:p>
        </w:tc>
        <w:tc>
          <w:tcPr>
            <w:tcW w:type="dxa" w:w="3600"/>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-0,026</w:t>
            </w:r>
          </w:p>
        </w:tc>
      </w:tr>
      <w:tr>
        <w:trPr>
          <w:cantSplit/>
        </w:trPr>
        <w:tc>
          <w:tcPr>
            <w:tcW w:type="dxa" w:w="5760"/>
            <w:vAlign w:val="center"/>
            <w:shd w:fill="FFFFFF"/>
            <w:tcMar>
              <w:top w:w="85" w:type="dxa"/>
              <w:left w:w="85" w:type="dxa"/>
              <w:bottom w:w="85" w:type="dxa"/>
              <w:right w:w="85" w:type="dxa"/>
            </w:tcMar>
          </w:tcPr>
          <w:p>
            <w:pPr>
              <w:spacing w:after="60" w:before="60" w:line="240" w:lineRule="auto"/>
              <w:jc w:val="left"/>
            </w:pPr>
            <w:r>
              <w:rPr>
                <w:rFonts w:ascii="Calibri" w:hAnsi="Calibri"/>
                <w:b w:val="0"/>
                <w:sz w:val="19"/>
              </w:rPr>
              <w:t>CAD fade MCD</w:t>
            </w:r>
          </w:p>
        </w:tc>
        <w:tc>
          <w:tcPr>
            <w:tcW w:type="dxa" w:w="3600"/>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-0,117</w:t>
            </w:r>
          </w:p>
        </w:tc>
      </w:tr>
      <w:tr>
        <w:trPr>
          <w:cantSplit/>
        </w:trPr>
        <w:tc>
          <w:tcPr>
            <w:tcW w:type="dxa" w:w="5760"/>
            <w:vAlign w:val="center"/>
            <w:shd w:fill="F6F8FA"/>
            <w:tcMar>
              <w:top w:w="85" w:type="dxa"/>
              <w:left w:w="85" w:type="dxa"/>
              <w:bottom w:w="85" w:type="dxa"/>
              <w:right w:w="85" w:type="dxa"/>
            </w:tcMar>
          </w:tcPr>
          <w:p>
            <w:pPr>
              <w:spacing w:after="60" w:before="60" w:line="240" w:lineRule="auto"/>
              <w:jc w:val="left"/>
            </w:pPr>
            <w:r>
              <w:rPr>
                <w:rFonts w:ascii="Calibri" w:hAnsi="Calibri"/>
                <w:b w:val="0"/>
                <w:sz w:val="19"/>
              </w:rPr>
              <w:t>VXN reversal MNQ</w:t>
            </w:r>
          </w:p>
        </w:tc>
        <w:tc>
          <w:tcPr>
            <w:tcW w:type="dxa" w:w="3600"/>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-0,165</w:t>
            </w:r>
          </w:p>
        </w:tc>
      </w:tr>
      <w:tr>
        <w:trPr>
          <w:cantSplit/>
        </w:trPr>
        <w:tc>
          <w:tcPr>
            <w:tcW w:type="dxa" w:w="5760"/>
            <w:vAlign w:val="center"/>
            <w:shd w:fill="FFFFFF"/>
            <w:tcMar>
              <w:top w:w="85" w:type="dxa"/>
              <w:left w:w="85" w:type="dxa"/>
              <w:bottom w:w="85" w:type="dxa"/>
              <w:right w:w="85" w:type="dxa"/>
            </w:tcMar>
          </w:tcPr>
          <w:p>
            <w:pPr>
              <w:spacing w:after="60" w:before="60" w:line="240" w:lineRule="auto"/>
              <w:jc w:val="left"/>
            </w:pPr>
            <w:r>
              <w:rPr>
                <w:rFonts w:ascii="Calibri" w:hAnsi="Calibri"/>
                <w:b w:val="0"/>
                <w:sz w:val="19"/>
              </w:rPr>
              <w:t>Overnight MNQ</w:t>
            </w:r>
          </w:p>
        </w:tc>
        <w:tc>
          <w:tcPr>
            <w:tcW w:type="dxa" w:w="3600"/>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0,012</w:t>
            </w:r>
          </w:p>
        </w:tc>
      </w:tr>
      <w:tr>
        <w:trPr>
          <w:cantSplit/>
        </w:trPr>
        <w:tc>
          <w:tcPr>
            <w:tcW w:type="dxa" w:w="5760"/>
            <w:vAlign w:val="center"/>
            <w:shd w:fill="F6F8FA"/>
            <w:tcMar>
              <w:top w:w="85" w:type="dxa"/>
              <w:left w:w="85" w:type="dxa"/>
              <w:bottom w:w="85" w:type="dxa"/>
              <w:right w:w="85" w:type="dxa"/>
            </w:tcMar>
          </w:tcPr>
          <w:p>
            <w:pPr>
              <w:spacing w:after="60" w:before="60" w:line="240" w:lineRule="auto"/>
              <w:jc w:val="left"/>
            </w:pPr>
            <w:r>
              <w:rPr>
                <w:rFonts w:ascii="Calibri" w:hAnsi="Calibri"/>
                <w:b w:val="0"/>
                <w:sz w:val="19"/>
              </w:rPr>
              <w:t>Vault MNQ</w:t>
            </w:r>
          </w:p>
        </w:tc>
        <w:tc>
          <w:tcPr>
            <w:tcW w:type="dxa" w:w="3600"/>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0,066</w:t>
            </w:r>
          </w:p>
        </w:tc>
      </w:tr>
    </w:tbl>
    <w:p>
      <w:pPr>
        <w:spacing w:after="60"/>
      </w:pPr>
    </w:p>
    <w:p>
      <w:pPr>
        <w:pStyle w:val="Normal"/>
      </w:pPr>
      <w:r>
        <w:rPr>
          <w:b w:val="0"/>
        </w:rPr>
        <w:t>Un’autocorrelazione bassa non dimostra indipendenza: la dipendenza può essere non lineare, concentrata durante shock o comune a più moduli. Per verificare regole dopo due o tre loss servono nuove analisi predefinite e campioni sufficienti, non una ricerca opportunistica di sequenze.</w:t>
      </w:r>
    </w:p>
    <w:p>
      <w:pPr>
        <w:pStyle w:val="Heading1"/>
      </w:pPr>
      <w:r>
        <w:t>23 Correlazione e diversificazione</w:t>
      </w:r>
    </w:p>
    <w:p>
      <w:pPr>
        <w:pStyle w:val="Normal"/>
      </w:pPr>
      <w:r>
        <w:rPr>
          <w:b w:val="0"/>
        </w:rPr>
        <w:t>La matrice usa somme giornaliere e tutti i business day del periodo comune, con zeri nei giorni senza operazioni. I codici sono CVD, IMP, CAD, VXN, VAU e ON. La correlazione di ritorni monetari giornalieri non misura identica esposizione tick per tick, e l’assenza di attività VXN prima di luglio 2025 influenza il confronto.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1296"/>
        <w:gridCol w:w="1296"/>
        <w:gridCol w:w="1296"/>
        <w:gridCol w:w="1296"/>
        <w:gridCol w:w="1296"/>
        <w:gridCol w:w="1296"/>
      </w:tblGrid>
      <w:tr>
        <w:trPr>
          <w:cantSplit/>
          <w:tblHeader/>
        </w:trPr>
        <w:tc>
          <w:tcPr>
            <w:tcW w:type="dxa" w:w="1584"/>
            <w:vAlign w:val="center"/>
            <w:shd w:fill="DDEAF2"/>
            <w:tcMar>
              <w:top w:w="85" w:type="dxa"/>
              <w:left w:w="85" w:type="dxa"/>
              <w:bottom w:w="85" w:type="dxa"/>
              <w:right w:w="85" w:type="dxa"/>
            </w:tcMar>
          </w:tcPr>
          <w:p>
            <w:pPr>
              <w:spacing w:after="60" w:before="60" w:line="240" w:lineRule="auto"/>
              <w:jc w:val="left"/>
            </w:pPr>
            <w:r>
              <w:rPr>
                <w:rFonts w:ascii="Calibri" w:hAnsi="Calibri"/>
                <w:b/>
                <w:sz w:val="19"/>
              </w:rPr>
            </w:r>
          </w:p>
        </w:tc>
        <w:tc>
          <w:tcPr>
            <w:tcW w:type="dxa" w:w="1296"/>
            <w:vAlign w:val="center"/>
            <w:shd w:fill="DDEAF2"/>
            <w:tcMar>
              <w:top w:w="85" w:type="dxa"/>
              <w:left w:w="85" w:type="dxa"/>
              <w:bottom w:w="85" w:type="dxa"/>
              <w:right w:w="85" w:type="dxa"/>
            </w:tcMar>
          </w:tcPr>
          <w:p>
            <w:pPr>
              <w:spacing w:after="60" w:before="60" w:line="240" w:lineRule="auto"/>
              <w:jc w:val="center"/>
            </w:pPr>
            <w:r>
              <w:rPr>
                <w:rFonts w:ascii="Calibri" w:hAnsi="Calibri"/>
                <w:b/>
                <w:sz w:val="19"/>
              </w:rPr>
              <w:t>CVD</w:t>
            </w:r>
          </w:p>
        </w:tc>
        <w:tc>
          <w:tcPr>
            <w:tcW w:type="dxa" w:w="1296"/>
            <w:vAlign w:val="center"/>
            <w:shd w:fill="DDEAF2"/>
            <w:tcMar>
              <w:top w:w="85" w:type="dxa"/>
              <w:left w:w="85" w:type="dxa"/>
              <w:bottom w:w="85" w:type="dxa"/>
              <w:right w:w="85" w:type="dxa"/>
            </w:tcMar>
          </w:tcPr>
          <w:p>
            <w:pPr>
              <w:spacing w:after="60" w:before="60" w:line="240" w:lineRule="auto"/>
              <w:jc w:val="center"/>
            </w:pPr>
            <w:r>
              <w:rPr>
                <w:rFonts w:ascii="Calibri" w:hAnsi="Calibri"/>
                <w:b/>
                <w:sz w:val="19"/>
              </w:rPr>
              <w:t>IMP</w:t>
            </w:r>
          </w:p>
        </w:tc>
        <w:tc>
          <w:tcPr>
            <w:tcW w:type="dxa" w:w="1296"/>
            <w:vAlign w:val="center"/>
            <w:shd w:fill="DDEAF2"/>
            <w:tcMar>
              <w:top w:w="85" w:type="dxa"/>
              <w:left w:w="85" w:type="dxa"/>
              <w:bottom w:w="85" w:type="dxa"/>
              <w:right w:w="85" w:type="dxa"/>
            </w:tcMar>
          </w:tcPr>
          <w:p>
            <w:pPr>
              <w:spacing w:after="60" w:before="60" w:line="240" w:lineRule="auto"/>
              <w:jc w:val="center"/>
            </w:pPr>
            <w:r>
              <w:rPr>
                <w:rFonts w:ascii="Calibri" w:hAnsi="Calibri"/>
                <w:b/>
                <w:sz w:val="19"/>
              </w:rPr>
              <w:t>CAD</w:t>
            </w:r>
          </w:p>
        </w:tc>
        <w:tc>
          <w:tcPr>
            <w:tcW w:type="dxa" w:w="1296"/>
            <w:vAlign w:val="center"/>
            <w:shd w:fill="DDEAF2"/>
            <w:tcMar>
              <w:top w:w="85" w:type="dxa"/>
              <w:left w:w="85" w:type="dxa"/>
              <w:bottom w:w="85" w:type="dxa"/>
              <w:right w:w="85" w:type="dxa"/>
            </w:tcMar>
          </w:tcPr>
          <w:p>
            <w:pPr>
              <w:spacing w:after="60" w:before="60" w:line="240" w:lineRule="auto"/>
              <w:jc w:val="center"/>
            </w:pPr>
            <w:r>
              <w:rPr>
                <w:rFonts w:ascii="Calibri" w:hAnsi="Calibri"/>
                <w:b/>
                <w:sz w:val="19"/>
              </w:rPr>
              <w:t>VXN</w:t>
            </w:r>
          </w:p>
        </w:tc>
        <w:tc>
          <w:tcPr>
            <w:tcW w:type="dxa" w:w="1296"/>
            <w:vAlign w:val="center"/>
            <w:shd w:fill="DDEAF2"/>
            <w:tcMar>
              <w:top w:w="85" w:type="dxa"/>
              <w:left w:w="85" w:type="dxa"/>
              <w:bottom w:w="85" w:type="dxa"/>
              <w:right w:w="85" w:type="dxa"/>
            </w:tcMar>
          </w:tcPr>
          <w:p>
            <w:pPr>
              <w:spacing w:after="60" w:before="60" w:line="240" w:lineRule="auto"/>
              <w:jc w:val="center"/>
            </w:pPr>
            <w:r>
              <w:rPr>
                <w:rFonts w:ascii="Calibri" w:hAnsi="Calibri"/>
                <w:b/>
                <w:sz w:val="19"/>
              </w:rPr>
              <w:t>VAU</w:t>
            </w:r>
          </w:p>
        </w:tc>
        <w:tc>
          <w:tcPr>
            <w:tcW w:type="dxa" w:w="1296"/>
            <w:vAlign w:val="center"/>
            <w:shd w:fill="DDEAF2"/>
            <w:tcMar>
              <w:top w:w="85" w:type="dxa"/>
              <w:left w:w="85" w:type="dxa"/>
              <w:bottom w:w="85" w:type="dxa"/>
              <w:right w:w="85" w:type="dxa"/>
            </w:tcMar>
          </w:tcPr>
          <w:p>
            <w:pPr>
              <w:spacing w:after="60" w:before="60" w:line="240" w:lineRule="auto"/>
              <w:jc w:val="center"/>
            </w:pPr>
            <w:r>
              <w:rPr>
                <w:rFonts w:ascii="Calibri" w:hAnsi="Calibri"/>
                <w:b/>
                <w:sz w:val="19"/>
              </w:rPr>
              <w:t>ON</w:t>
            </w:r>
          </w:p>
        </w:tc>
      </w:tr>
      <w:tr>
        <w:trPr>
          <w:cantSplit/>
        </w:trPr>
        <w:tc>
          <w:tcPr>
            <w:tcW w:type="dxa" w:w="1584"/>
            <w:vAlign w:val="center"/>
            <w:shd w:fill="FFFFFF"/>
            <w:tcMar>
              <w:top w:w="85" w:type="dxa"/>
              <w:left w:w="85" w:type="dxa"/>
              <w:bottom w:w="85" w:type="dxa"/>
              <w:right w:w="85" w:type="dxa"/>
            </w:tcMar>
          </w:tcPr>
          <w:p>
            <w:pPr>
              <w:spacing w:after="60" w:before="60" w:line="240" w:lineRule="auto"/>
              <w:jc w:val="left"/>
            </w:pPr>
            <w:r>
              <w:rPr>
                <w:rFonts w:ascii="Calibri" w:hAnsi="Calibri"/>
                <w:b w:val="0"/>
                <w:sz w:val="19"/>
              </w:rPr>
              <w:t>CVD</w:t>
            </w:r>
          </w:p>
        </w:tc>
        <w:tc>
          <w:tcPr>
            <w:tcW w:type="dxa" w:w="1296"/>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1,000</w:t>
            </w:r>
          </w:p>
        </w:tc>
        <w:tc>
          <w:tcPr>
            <w:tcW w:type="dxa" w:w="1296"/>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-0,010</w:t>
            </w:r>
          </w:p>
        </w:tc>
        <w:tc>
          <w:tcPr>
            <w:tcW w:type="dxa" w:w="1296"/>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0,032</w:t>
            </w:r>
          </w:p>
        </w:tc>
        <w:tc>
          <w:tcPr>
            <w:tcW w:type="dxa" w:w="1296"/>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0,090</w:t>
            </w:r>
          </w:p>
        </w:tc>
        <w:tc>
          <w:tcPr>
            <w:tcW w:type="dxa" w:w="1296"/>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0,017</w:t>
            </w:r>
          </w:p>
        </w:tc>
        <w:tc>
          <w:tcPr>
            <w:tcW w:type="dxa" w:w="1296"/>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0,038</w:t>
            </w:r>
          </w:p>
        </w:tc>
      </w:tr>
      <w:tr>
        <w:trPr>
          <w:cantSplit/>
        </w:trPr>
        <w:tc>
          <w:tcPr>
            <w:tcW w:type="dxa" w:w="1584"/>
            <w:vAlign w:val="center"/>
            <w:shd w:fill="F6F8FA"/>
            <w:tcMar>
              <w:top w:w="85" w:type="dxa"/>
              <w:left w:w="85" w:type="dxa"/>
              <w:bottom w:w="85" w:type="dxa"/>
              <w:right w:w="85" w:type="dxa"/>
            </w:tcMar>
          </w:tcPr>
          <w:p>
            <w:pPr>
              <w:spacing w:after="60" w:before="60" w:line="240" w:lineRule="auto"/>
              <w:jc w:val="left"/>
            </w:pPr>
            <w:r>
              <w:rPr>
                <w:rFonts w:ascii="Calibri" w:hAnsi="Calibri"/>
                <w:b w:val="0"/>
                <w:sz w:val="19"/>
              </w:rPr>
              <w:t>IMP</w:t>
            </w:r>
          </w:p>
        </w:tc>
        <w:tc>
          <w:tcPr>
            <w:tcW w:type="dxa" w:w="1296"/>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-0,010</w:t>
            </w:r>
          </w:p>
        </w:tc>
        <w:tc>
          <w:tcPr>
            <w:tcW w:type="dxa" w:w="1296"/>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1,000</w:t>
            </w:r>
          </w:p>
        </w:tc>
        <w:tc>
          <w:tcPr>
            <w:tcW w:type="dxa" w:w="1296"/>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0,027</w:t>
            </w:r>
          </w:p>
        </w:tc>
        <w:tc>
          <w:tcPr>
            <w:tcW w:type="dxa" w:w="1296"/>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-0,026</w:t>
            </w:r>
          </w:p>
        </w:tc>
        <w:tc>
          <w:tcPr>
            <w:tcW w:type="dxa" w:w="1296"/>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-0,093</w:t>
            </w:r>
          </w:p>
        </w:tc>
        <w:tc>
          <w:tcPr>
            <w:tcW w:type="dxa" w:w="1296"/>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-0,027</w:t>
            </w:r>
          </w:p>
        </w:tc>
      </w:tr>
      <w:tr>
        <w:trPr>
          <w:cantSplit/>
        </w:trPr>
        <w:tc>
          <w:tcPr>
            <w:tcW w:type="dxa" w:w="1584"/>
            <w:vAlign w:val="center"/>
            <w:shd w:fill="FFFFFF"/>
            <w:tcMar>
              <w:top w:w="85" w:type="dxa"/>
              <w:left w:w="85" w:type="dxa"/>
              <w:bottom w:w="85" w:type="dxa"/>
              <w:right w:w="85" w:type="dxa"/>
            </w:tcMar>
          </w:tcPr>
          <w:p>
            <w:pPr>
              <w:spacing w:after="60" w:before="60" w:line="240" w:lineRule="auto"/>
              <w:jc w:val="left"/>
            </w:pPr>
            <w:r>
              <w:rPr>
                <w:rFonts w:ascii="Calibri" w:hAnsi="Calibri"/>
                <w:b w:val="0"/>
                <w:sz w:val="19"/>
              </w:rPr>
              <w:t>CAD</w:t>
            </w:r>
          </w:p>
        </w:tc>
        <w:tc>
          <w:tcPr>
            <w:tcW w:type="dxa" w:w="1296"/>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0,032</w:t>
            </w:r>
          </w:p>
        </w:tc>
        <w:tc>
          <w:tcPr>
            <w:tcW w:type="dxa" w:w="1296"/>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0,027</w:t>
            </w:r>
          </w:p>
        </w:tc>
        <w:tc>
          <w:tcPr>
            <w:tcW w:type="dxa" w:w="1296"/>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1,000</w:t>
            </w:r>
          </w:p>
        </w:tc>
        <w:tc>
          <w:tcPr>
            <w:tcW w:type="dxa" w:w="1296"/>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0,003</w:t>
            </w:r>
          </w:p>
        </w:tc>
        <w:tc>
          <w:tcPr>
            <w:tcW w:type="dxa" w:w="1296"/>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0,014</w:t>
            </w:r>
          </w:p>
        </w:tc>
        <w:tc>
          <w:tcPr>
            <w:tcW w:type="dxa" w:w="1296"/>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-0,007</w:t>
            </w:r>
          </w:p>
        </w:tc>
      </w:tr>
      <w:tr>
        <w:trPr>
          <w:cantSplit/>
        </w:trPr>
        <w:tc>
          <w:tcPr>
            <w:tcW w:type="dxa" w:w="1584"/>
            <w:vAlign w:val="center"/>
            <w:shd w:fill="F6F8FA"/>
            <w:tcMar>
              <w:top w:w="85" w:type="dxa"/>
              <w:left w:w="85" w:type="dxa"/>
              <w:bottom w:w="85" w:type="dxa"/>
              <w:right w:w="85" w:type="dxa"/>
            </w:tcMar>
          </w:tcPr>
          <w:p>
            <w:pPr>
              <w:spacing w:after="60" w:before="60" w:line="240" w:lineRule="auto"/>
              <w:jc w:val="left"/>
            </w:pPr>
            <w:r>
              <w:rPr>
                <w:rFonts w:ascii="Calibri" w:hAnsi="Calibri"/>
                <w:b w:val="0"/>
                <w:sz w:val="19"/>
              </w:rPr>
              <w:t>VXN</w:t>
            </w:r>
          </w:p>
        </w:tc>
        <w:tc>
          <w:tcPr>
            <w:tcW w:type="dxa" w:w="1296"/>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0,090</w:t>
            </w:r>
          </w:p>
        </w:tc>
        <w:tc>
          <w:tcPr>
            <w:tcW w:type="dxa" w:w="1296"/>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-0,026</w:t>
            </w:r>
          </w:p>
        </w:tc>
        <w:tc>
          <w:tcPr>
            <w:tcW w:type="dxa" w:w="1296"/>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0,003</w:t>
            </w:r>
          </w:p>
        </w:tc>
        <w:tc>
          <w:tcPr>
            <w:tcW w:type="dxa" w:w="1296"/>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1,000</w:t>
            </w:r>
          </w:p>
        </w:tc>
        <w:tc>
          <w:tcPr>
            <w:tcW w:type="dxa" w:w="1296"/>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0,055</w:t>
            </w:r>
          </w:p>
        </w:tc>
        <w:tc>
          <w:tcPr>
            <w:tcW w:type="dxa" w:w="1296"/>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0,092</w:t>
            </w:r>
          </w:p>
        </w:tc>
      </w:tr>
      <w:tr>
        <w:trPr>
          <w:cantSplit/>
        </w:trPr>
        <w:tc>
          <w:tcPr>
            <w:tcW w:type="dxa" w:w="1584"/>
            <w:vAlign w:val="center"/>
            <w:shd w:fill="FFFFFF"/>
            <w:tcMar>
              <w:top w:w="85" w:type="dxa"/>
              <w:left w:w="85" w:type="dxa"/>
              <w:bottom w:w="85" w:type="dxa"/>
              <w:right w:w="85" w:type="dxa"/>
            </w:tcMar>
          </w:tcPr>
          <w:p>
            <w:pPr>
              <w:spacing w:after="60" w:before="60" w:line="240" w:lineRule="auto"/>
              <w:jc w:val="left"/>
            </w:pPr>
            <w:r>
              <w:rPr>
                <w:rFonts w:ascii="Calibri" w:hAnsi="Calibri"/>
                <w:b w:val="0"/>
                <w:sz w:val="19"/>
              </w:rPr>
              <w:t>VAU</w:t>
            </w:r>
          </w:p>
        </w:tc>
        <w:tc>
          <w:tcPr>
            <w:tcW w:type="dxa" w:w="1296"/>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0,017</w:t>
            </w:r>
          </w:p>
        </w:tc>
        <w:tc>
          <w:tcPr>
            <w:tcW w:type="dxa" w:w="1296"/>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-0,093</w:t>
            </w:r>
          </w:p>
        </w:tc>
        <w:tc>
          <w:tcPr>
            <w:tcW w:type="dxa" w:w="1296"/>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0,014</w:t>
            </w:r>
          </w:p>
        </w:tc>
        <w:tc>
          <w:tcPr>
            <w:tcW w:type="dxa" w:w="1296"/>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0,055</w:t>
            </w:r>
          </w:p>
        </w:tc>
        <w:tc>
          <w:tcPr>
            <w:tcW w:type="dxa" w:w="1296"/>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1,000</w:t>
            </w:r>
          </w:p>
        </w:tc>
        <w:tc>
          <w:tcPr>
            <w:tcW w:type="dxa" w:w="1296"/>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0,180</w:t>
            </w:r>
          </w:p>
        </w:tc>
      </w:tr>
      <w:tr>
        <w:trPr>
          <w:cantSplit/>
        </w:trPr>
        <w:tc>
          <w:tcPr>
            <w:tcW w:type="dxa" w:w="1584"/>
            <w:vAlign w:val="center"/>
            <w:shd w:fill="F6F8FA"/>
            <w:tcMar>
              <w:top w:w="85" w:type="dxa"/>
              <w:left w:w="85" w:type="dxa"/>
              <w:bottom w:w="85" w:type="dxa"/>
              <w:right w:w="85" w:type="dxa"/>
            </w:tcMar>
          </w:tcPr>
          <w:p>
            <w:pPr>
              <w:spacing w:after="60" w:before="60" w:line="240" w:lineRule="auto"/>
              <w:jc w:val="left"/>
            </w:pPr>
            <w:r>
              <w:rPr>
                <w:rFonts w:ascii="Calibri" w:hAnsi="Calibri"/>
                <w:b w:val="0"/>
                <w:sz w:val="19"/>
              </w:rPr>
              <w:t>ON</w:t>
            </w:r>
          </w:p>
        </w:tc>
        <w:tc>
          <w:tcPr>
            <w:tcW w:type="dxa" w:w="1296"/>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0,038</w:t>
            </w:r>
          </w:p>
        </w:tc>
        <w:tc>
          <w:tcPr>
            <w:tcW w:type="dxa" w:w="1296"/>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-0,027</w:t>
            </w:r>
          </w:p>
        </w:tc>
        <w:tc>
          <w:tcPr>
            <w:tcW w:type="dxa" w:w="1296"/>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-0,007</w:t>
            </w:r>
          </w:p>
        </w:tc>
        <w:tc>
          <w:tcPr>
            <w:tcW w:type="dxa" w:w="1296"/>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0,092</w:t>
            </w:r>
          </w:p>
        </w:tc>
        <w:tc>
          <w:tcPr>
            <w:tcW w:type="dxa" w:w="1296"/>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0,180</w:t>
            </w:r>
          </w:p>
        </w:tc>
        <w:tc>
          <w:tcPr>
            <w:tcW w:type="dxa" w:w="1296"/>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1,000</w:t>
            </w:r>
          </w:p>
        </w:tc>
      </w:tr>
    </w:tbl>
    <w:p>
      <w:pPr>
        <w:spacing w:after="60"/>
      </w:pPr>
    </w:p>
    <w:p>
      <w:pPr>
        <w:pStyle w:val="Normal"/>
      </w:pPr>
      <w:r>
        <w:rPr>
          <w:b w:val="0"/>
        </w:rPr>
        <w:t>Le correlazioni sono basse in questo campione ma non autorizzano a dire che le strategie siano tutte non correlate o indipendenti. Shock macro, allargamento spread e problemi del feed possono colpire tutti i moduli. È necessaria una seconda matrice sul solo periodo con copertura comune e un’analisi delle correlazioni in drawdown.</w:t>
      </w:r>
    </w:p>
    <w:p>
      <w:pPr>
        <w:pStyle w:val="Heading1"/>
      </w:pPr>
      <w:r>
        <w:t>24 Benchmark e ablation</w:t>
      </w:r>
    </w:p>
    <w:p>
      <w:pPr>
        <w:pStyle w:val="Normal"/>
      </w:pPr>
      <w:r>
        <w:rPr>
          <w:b w:val="0"/>
        </w:rPr>
        <w:t>La baseline fissa dell’Impulso e le configurazioni fisse del VXN forniscono confronti utili sulle uscite. Il miglioramento assoluto di PnL non prova un incremento statisticamente significativo rispetto alla baseline. Occorre un confronto appaiato della differenza giornaliera, conservando la disponibilità di trade alterata dalle diverse uscite.</w:t>
      </w:r>
    </w:p>
    <w:p>
      <w:pPr>
        <w:pStyle w:val="Normal"/>
      </w:pPr>
      <w:r>
        <w:rPr>
          <w:b w:val="0"/>
        </w:rPr>
        <w:t>Non ho rieseguito sul ledger corrente un benchmark di entrate casuali con identici giorni, orari, direzioni, limit offset e vincoli di posizione. La permutazione di PnL della sezione 21 non è quel benchmark. Le prove random del vecchio CVD riguardano una configurazione precedente e non certificano quella attiva. Anche MFE e MAE richiedono i percorsi tick per ogni trade: non si inferiscono dal PnL finale.</w:t>
      </w:r>
    </w:p>
    <w:p>
      <w:pPr>
        <w:pStyle w:val="Heading1"/>
      </w:pPr>
      <w:r>
        <w:t>25 Sensibilità dei parametri e test multipli</w:t>
      </w:r>
    </w:p>
    <w:p>
      <w:pPr>
        <w:pStyle w:val="Normal"/>
      </w:pPr>
      <w:r>
        <w:rPr>
          <w:b w:val="0"/>
        </w:rPr>
        <w:t>La scelta su un plateau, usata nel VXN walk forward, riduce la dipendenza da un picco isolato ma non elimina il multiple testing. Le famiglie di strategie, le soglie di probabilità, gli offset, i TP SL e i filtri sono stati investigati ripetutamente. Il numero complessivo di prove non è ricostruito nel ledger pubblicato.</w:t>
      </w:r>
    </w:p>
    <w:p>
      <w:pPr>
        <w:pStyle w:val="Normal"/>
      </w:pPr>
      <w:r>
        <w:rPr>
          <w:b w:val="0"/>
        </w:rPr>
        <w:t>Non riporto Bonferroni, DSR, White Reality Check, SPA o PBO come nuovi test del portafoglio: per applicarli correttamente servono tutte le serie candidate, non soltanto i vincitori. Il precedente report CVD documenta questi test su una propria griglia, ma i suoi esiti non si trasferiscono automaticamente al portafoglio attuale. La prossima verifica deve preservare l’intera matrice di tentativi e separare sviluppo, validazione e test.</w:t>
      </w:r>
    </w:p>
    <w:p>
      <w:pPr>
        <w:pStyle w:val="Heading1"/>
      </w:pPr>
      <w:r>
        <w:t>26 Train test e walk forward</w:t>
      </w:r>
    </w:p>
    <w:p>
      <w:pPr>
        <w:pStyle w:val="Normal"/>
      </w:pPr>
      <w:r>
        <w:rPr>
          <w:b w:val="0"/>
        </w:rPr>
        <w:t>La regressione VXN a 15 minuti è stimata sul 2024 e ricostruita sui periodi successivi. Il trading VXN usa cinque fold temporali con selezione delle uscite sul passato. L’Impulso aggiorna causalmente la selezione delle uscite, ma i filtri di entrata sono stati ricercati storicamente. Il CAD e gli altri moduli non ricevono automaticamente il medesimo livello di certificazione.</w:t>
      </w:r>
    </w:p>
    <w:p>
      <w:pPr>
        <w:pStyle w:val="Normal"/>
      </w:pPr>
      <w:r>
        <w:rPr>
          <w:b w:val="0"/>
        </w:rPr>
        <w:t>Nel programma di ricerca complessivo il 2026 è stato consultato più volte per orientare decisioni successive. Non lo chiamo un holdout globale mai osservato. Risultati positivi in entrambe le annate non escludono overfitting. Il prossimo test informativo è un periodo nuovo con codice, regole, soglie e costi congelati, senza selezione retroattiva dei moduli.</w:t>
      </w:r>
    </w:p>
    <w:p>
      <w:pPr>
        <w:pStyle w:val="Heading1"/>
      </w:pPr>
      <w:r>
        <w:t>27 Costi e stress di esecuzione</w:t>
      </w:r>
    </w:p>
    <w:p>
      <w:pPr>
        <w:pStyle w:val="Normal"/>
      </w:pPr>
      <w:r>
        <w:rPr>
          <w:b w:val="0"/>
        </w:rPr>
        <w:t>Il ledger incorpora 1 USD round trip per contratto. Non si sottrae di nuovo quella commissione. Il costo non è una garanzia di includere commissioni exchange e broker effettive, bid ask, slippage, latenza e impatto. Per uno stress contabile aggiungo un extra per contratto mantenendo identici fill e trade; questo riduce il PnL ma non simula modifiche dell’ordine di stop e target.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00"/>
        <w:gridCol w:w="2160"/>
        <w:gridCol w:w="1440"/>
        <w:gridCol w:w="2160"/>
      </w:tblGrid>
      <w:tr>
        <w:trPr>
          <w:cantSplit/>
          <w:tblHeader/>
        </w:trPr>
        <w:tc>
          <w:tcPr>
            <w:tcW w:type="dxa" w:w="3600"/>
            <w:vAlign w:val="center"/>
            <w:shd w:fill="DDEAF2"/>
            <w:tcMar>
              <w:top w:w="85" w:type="dxa"/>
              <w:left w:w="85" w:type="dxa"/>
              <w:bottom w:w="85" w:type="dxa"/>
              <w:right w:w="85" w:type="dxa"/>
            </w:tcMar>
          </w:tcPr>
          <w:p>
            <w:pPr>
              <w:spacing w:after="60" w:before="60" w:line="240" w:lineRule="auto"/>
              <w:jc w:val="left"/>
            </w:pPr>
            <w:r>
              <w:rPr>
                <w:rFonts w:ascii="Calibri" w:hAnsi="Calibri"/>
                <w:b/>
                <w:sz w:val="19"/>
              </w:rPr>
              <w:t>Extra RT USD per contratto</w:t>
            </w:r>
          </w:p>
        </w:tc>
        <w:tc>
          <w:tcPr>
            <w:tcW w:type="dxa" w:w="2160"/>
            <w:vAlign w:val="center"/>
            <w:shd w:fill="DDEAF2"/>
            <w:tcMar>
              <w:top w:w="85" w:type="dxa"/>
              <w:left w:w="85" w:type="dxa"/>
              <w:bottom w:w="85" w:type="dxa"/>
              <w:right w:w="85" w:type="dxa"/>
            </w:tcMar>
          </w:tcPr>
          <w:p>
            <w:pPr>
              <w:spacing w:after="60" w:before="60" w:line="240" w:lineRule="auto"/>
              <w:jc w:val="center"/>
            </w:pPr>
            <w:r>
              <w:rPr>
                <w:rFonts w:ascii="Calibri" w:hAnsi="Calibri"/>
                <w:b/>
                <w:sz w:val="19"/>
              </w:rPr>
              <w:t>Netto USD</w:t>
            </w:r>
          </w:p>
        </w:tc>
        <w:tc>
          <w:tcPr>
            <w:tcW w:type="dxa" w:w="1440"/>
            <w:vAlign w:val="center"/>
            <w:shd w:fill="DDEAF2"/>
            <w:tcMar>
              <w:top w:w="85" w:type="dxa"/>
              <w:left w:w="85" w:type="dxa"/>
              <w:bottom w:w="85" w:type="dxa"/>
              <w:right w:w="85" w:type="dxa"/>
            </w:tcMar>
          </w:tcPr>
          <w:p>
            <w:pPr>
              <w:spacing w:after="60" w:before="60" w:line="240" w:lineRule="auto"/>
              <w:jc w:val="center"/>
            </w:pPr>
            <w:r>
              <w:rPr>
                <w:rFonts w:ascii="Calibri" w:hAnsi="Calibri"/>
                <w:b/>
                <w:sz w:val="19"/>
              </w:rPr>
              <w:t>PF</w:t>
            </w:r>
          </w:p>
        </w:tc>
        <w:tc>
          <w:tcPr>
            <w:tcW w:type="dxa" w:w="2160"/>
            <w:vAlign w:val="center"/>
            <w:shd w:fill="DDEAF2"/>
            <w:tcMar>
              <w:top w:w="85" w:type="dxa"/>
              <w:left w:w="85" w:type="dxa"/>
              <w:bottom w:w="85" w:type="dxa"/>
              <w:right w:w="85" w:type="dxa"/>
            </w:tcMar>
          </w:tcPr>
          <w:p>
            <w:pPr>
              <w:spacing w:after="60" w:before="60" w:line="240" w:lineRule="auto"/>
              <w:jc w:val="center"/>
            </w:pPr>
            <w:r>
              <w:rPr>
                <w:rFonts w:ascii="Calibri" w:hAnsi="Calibri"/>
                <w:b/>
                <w:sz w:val="19"/>
              </w:rPr>
              <w:t>Exp USD</w:t>
            </w:r>
          </w:p>
        </w:tc>
      </w:tr>
      <w:tr>
        <w:trPr>
          <w:cantSplit/>
        </w:trPr>
        <w:tc>
          <w:tcPr>
            <w:tcW w:type="dxa" w:w="3600"/>
            <w:vAlign w:val="center"/>
            <w:shd w:fill="FFFFFF"/>
            <w:tcMar>
              <w:top w:w="85" w:type="dxa"/>
              <w:left w:w="85" w:type="dxa"/>
              <w:bottom w:w="85" w:type="dxa"/>
              <w:right w:w="85" w:type="dxa"/>
            </w:tcMar>
          </w:tcPr>
          <w:p>
            <w:pPr>
              <w:spacing w:after="60" w:before="60" w:line="240" w:lineRule="auto"/>
              <w:jc w:val="left"/>
            </w:pPr>
            <w:r>
              <w:rPr>
                <w:rFonts w:ascii="Calibri" w:hAnsi="Calibri"/>
                <w:b w:val="0"/>
                <w:sz w:val="19"/>
              </w:rPr>
              <w:t>0,00</w:t>
            </w:r>
          </w:p>
        </w:tc>
        <w:tc>
          <w:tcPr>
            <w:tcW w:type="dxa" w:w="2160"/>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62.213,00</w:t>
            </w:r>
          </w:p>
        </w:tc>
        <w:tc>
          <w:tcPr>
            <w:tcW w:type="dxa" w:w="1440"/>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1,373</w:t>
            </w:r>
          </w:p>
        </w:tc>
        <w:tc>
          <w:tcPr>
            <w:tcW w:type="dxa" w:w="2160"/>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40,16</w:t>
            </w:r>
          </w:p>
        </w:tc>
      </w:tr>
      <w:tr>
        <w:trPr>
          <w:cantSplit/>
        </w:trPr>
        <w:tc>
          <w:tcPr>
            <w:tcW w:type="dxa" w:w="3600"/>
            <w:vAlign w:val="center"/>
            <w:shd w:fill="F6F8FA"/>
            <w:tcMar>
              <w:top w:w="85" w:type="dxa"/>
              <w:left w:w="85" w:type="dxa"/>
              <w:bottom w:w="85" w:type="dxa"/>
              <w:right w:w="85" w:type="dxa"/>
            </w:tcMar>
          </w:tcPr>
          <w:p>
            <w:pPr>
              <w:spacing w:after="60" w:before="60" w:line="240" w:lineRule="auto"/>
              <w:jc w:val="left"/>
            </w:pPr>
            <w:r>
              <w:rPr>
                <w:rFonts w:ascii="Calibri" w:hAnsi="Calibri"/>
                <w:b w:val="0"/>
                <w:sz w:val="19"/>
              </w:rPr>
              <w:t>0,50</w:t>
            </w:r>
          </w:p>
        </w:tc>
        <w:tc>
          <w:tcPr>
            <w:tcW w:type="dxa" w:w="2160"/>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56.156,50</w:t>
            </w:r>
          </w:p>
        </w:tc>
        <w:tc>
          <w:tcPr>
            <w:tcW w:type="dxa" w:w="1440"/>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1,332</w:t>
            </w:r>
          </w:p>
        </w:tc>
        <w:tc>
          <w:tcPr>
            <w:tcW w:type="dxa" w:w="2160"/>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36,25</w:t>
            </w:r>
          </w:p>
        </w:tc>
      </w:tr>
      <w:tr>
        <w:trPr>
          <w:cantSplit/>
        </w:trPr>
        <w:tc>
          <w:tcPr>
            <w:tcW w:type="dxa" w:w="3600"/>
            <w:vAlign w:val="center"/>
            <w:shd w:fill="FFFFFF"/>
            <w:tcMar>
              <w:top w:w="85" w:type="dxa"/>
              <w:left w:w="85" w:type="dxa"/>
              <w:bottom w:w="85" w:type="dxa"/>
              <w:right w:w="85" w:type="dxa"/>
            </w:tcMar>
          </w:tcPr>
          <w:p>
            <w:pPr>
              <w:spacing w:after="60" w:before="60" w:line="240" w:lineRule="auto"/>
              <w:jc w:val="left"/>
            </w:pPr>
            <w:r>
              <w:rPr>
                <w:rFonts w:ascii="Calibri" w:hAnsi="Calibri"/>
                <w:b w:val="0"/>
                <w:sz w:val="19"/>
              </w:rPr>
              <w:t>1,00</w:t>
            </w:r>
          </w:p>
        </w:tc>
        <w:tc>
          <w:tcPr>
            <w:tcW w:type="dxa" w:w="2160"/>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50.100,00</w:t>
            </w:r>
          </w:p>
        </w:tc>
        <w:tc>
          <w:tcPr>
            <w:tcW w:type="dxa" w:w="1440"/>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1,293</w:t>
            </w:r>
          </w:p>
        </w:tc>
        <w:tc>
          <w:tcPr>
            <w:tcW w:type="dxa" w:w="2160"/>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32,34</w:t>
            </w:r>
          </w:p>
        </w:tc>
      </w:tr>
      <w:tr>
        <w:trPr>
          <w:cantSplit/>
        </w:trPr>
        <w:tc>
          <w:tcPr>
            <w:tcW w:type="dxa" w:w="3600"/>
            <w:vAlign w:val="center"/>
            <w:shd w:fill="F6F8FA"/>
            <w:tcMar>
              <w:top w:w="85" w:type="dxa"/>
              <w:left w:w="85" w:type="dxa"/>
              <w:bottom w:w="85" w:type="dxa"/>
              <w:right w:w="85" w:type="dxa"/>
            </w:tcMar>
          </w:tcPr>
          <w:p>
            <w:pPr>
              <w:spacing w:after="60" w:before="60" w:line="240" w:lineRule="auto"/>
              <w:jc w:val="left"/>
            </w:pPr>
            <w:r>
              <w:rPr>
                <w:rFonts w:ascii="Calibri" w:hAnsi="Calibri"/>
                <w:b w:val="0"/>
                <w:sz w:val="19"/>
              </w:rPr>
              <w:t>2,00</w:t>
            </w:r>
          </w:p>
        </w:tc>
        <w:tc>
          <w:tcPr>
            <w:tcW w:type="dxa" w:w="2160"/>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37.987,00</w:t>
            </w:r>
          </w:p>
        </w:tc>
        <w:tc>
          <w:tcPr>
            <w:tcW w:type="dxa" w:w="1440"/>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1,217</w:t>
            </w:r>
          </w:p>
        </w:tc>
        <w:tc>
          <w:tcPr>
            <w:tcW w:type="dxa" w:w="2160"/>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24,52</w:t>
            </w:r>
          </w:p>
        </w:tc>
      </w:tr>
    </w:tbl>
    <w:p>
      <w:pPr>
        <w:spacing w:after="60"/>
      </w:pPr>
    </w:p>
    <w:p>
      <w:pPr>
        <w:pStyle w:val="Normal"/>
      </w:pPr>
      <w:r>
        <w:rPr>
          <w:b w:val="0"/>
        </w:rPr>
        <w:t>Il test originale VXN a un MNQ aumenta il costo totale RT da 1 a 4 USD: il PnL passa da 359 a 179 USD e il PF da 1,503 a 1,234. È sensibilità al costo del campione storico, non una prova di robustezza dei fill. La size maggiore non abbatte lo spread percentuale o un costo proporzionale al contratto. [S4]</w:t>
      </w:r>
    </w:p>
    <w:p>
      <w:pPr>
        <w:pStyle w:val="Heading1"/>
      </w:pPr>
      <w:r>
        <w:t>28 Gestione del capitale ed esposizioni</w:t>
      </w:r>
    </w:p>
    <w:p>
      <w:pPr>
        <w:pStyle w:val="Normal"/>
      </w:pPr>
      <w:r>
        <w:rPr>
          <w:b w:val="0"/>
        </w:rPr>
        <w:t>La size di ricerca usa conto di riferimento 50.000 USD e massimo 500 USD per setup. Le due entrate sullo stesso setup dividono il budget, non rischiano ciascuna l’1%. La quantità è intera e dipende da stop e costo previsto; se un solo contratto supera il budget, il setup deve essere escluso. Uno stop con gap può realizzare una perdita superiore al budget pianificato.</w:t>
      </w:r>
    </w:p>
    <w:p>
      <w:pPr>
        <w:pStyle w:val="Normal"/>
      </w:pPr>
      <w:r>
        <w:rPr>
          <w:b w:val="0"/>
        </w:rPr>
        <w:t>La somma del rischio contemporaneo, l’esposizione overnight, la liquidità residua e i vincoli di una prop non sono ricostruibili dal solo PnL chiuso con timestamp legacy. Non presento quindi questo report come simulazione certificata di payout, account funded o crescita Kelly. Un rischio per setup dell’1% non significa un rischio aggregato contemporaneo dell’1%.</w:t>
      </w:r>
    </w:p>
    <w:p>
      <w:pPr>
        <w:pStyle w:val="Heading1"/>
      </w:pPr>
      <w:r>
        <w:t>29 Capacità e requisiti dei dati</w:t>
      </w:r>
    </w:p>
    <w:p>
      <w:pPr>
        <w:pStyle w:val="Normal"/>
      </w:pPr>
      <w:r>
        <w:rPr>
          <w:b w:val="0"/>
        </w:rPr>
        <w:t>Il modello di range richiede VXN del giorno precedente e barre/tick coerenti; CVD richiede classificazione aggressor e non è riproducibile con soli OHLC minute. Una strategia con limit e uscite intrabar richiede bid ask e sequenza per un fill realistico. Tick di transazioni non descrivono priorità in coda.</w:t>
      </w:r>
    </w:p>
    <w:p>
      <w:pPr>
        <w:pStyle w:val="Normal"/>
      </w:pPr>
      <w:r>
        <w:rPr>
          <w:b w:val="0"/>
        </w:rPr>
        <w:t>Un account demo permette osservazione delle condizioni di esecuzione del provider, ma i fill simulati non certificano capacità sul mercato reale. Prima di aumentare contratti occorre misurare quantità disponibile, spread effettivo, scostamento fill previsto reale e risultati per contratto, senza dedurre capacità dal solo volume medio giornaliero.</w:t>
      </w:r>
    </w:p>
    <w:p>
      <w:pPr>
        <w:pStyle w:val="Heading1"/>
      </w:pPr>
      <w:r>
        <w:t>30 Motore nativo e verifiche di parità</w:t>
      </w:r>
    </w:p>
    <w:p>
      <w:pPr>
        <w:pStyle w:val="Normal"/>
      </w:pPr>
      <w:r>
        <w:rPr>
          <w:b w:val="0"/>
        </w:rPr>
        <w:t>Il motore C# distingue modelli, stato di apprendimento, snapshot VXN e adapter ordini. Il precedente controllo privato riporta 812 confronti di probabilità con errore massimo 3,33e-16, 2.223 valori ADX ATR con errore 1,42e-14, 411 selezioni Impulso e cinque selezioni VXN corrispondenti. Quattro date di replay, 6.278.286 tick unici, hanno confrontato 7 segnali Impulso, 10 Vault, 2 VXN confermati e 2 Overnight. [S7]</w:t>
      </w:r>
    </w:p>
    <w:p>
      <w:pPr>
        <w:pStyle w:val="Normal"/>
      </w:pPr>
      <w:r>
        <w:rPr>
          <w:b w:val="0"/>
        </w:rPr>
        <w:t>Sono verifiche parziali, non un audit completo delle equity né una certificazione broker OCO. I controlli pubblici verificano primitive sintetiche e compilazione; non dimostrano l’effettiva DLL caricata, l’esistenza di SL TP confermati, gestione dei partial fill o recovery dopo disconnessione. Per VXN la selezione dello stato deve verificare esplicitamente anche la chiusura degli outcome prima del cutoff: filtrare il solo timestamp del setup è una garanzia più debole.</w:t>
      </w:r>
    </w:p>
    <w:p>
      <w:pPr>
        <w:pStyle w:val="Heading1"/>
      </w:pPr>
      <w:r>
        <w:t>31 Registro dei limiti e controlli aperti</w:t>
      </w:r>
    </w:p>
    <w:p>
      <w:pPr>
        <w:pStyle w:val="Normal"/>
      </w:pPr>
      <w:r>
        <w:rPr>
          <w:b w:val="0"/>
        </w:rPr>
        <w:t>I risultati restano provvisori fino alla chiusura dei controlli. Le priorità non sono un nuovo sweep per massimizzare il backtest, ma la riconciliazione dei dati e un test prospettico congelato.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4320"/>
      </w:tblGrid>
      <w:tr>
        <w:trPr>
          <w:cantSplit/>
          <w:tblHeader/>
        </w:trPr>
        <w:tc>
          <w:tcPr>
            <w:tcW w:type="dxa" w:w="5040"/>
            <w:vAlign w:val="center"/>
            <w:shd w:fill="DDEAF2"/>
            <w:tcMar>
              <w:top w:w="85" w:type="dxa"/>
              <w:left w:w="85" w:type="dxa"/>
              <w:bottom w:w="85" w:type="dxa"/>
              <w:right w:w="85" w:type="dxa"/>
            </w:tcMar>
          </w:tcPr>
          <w:p>
            <w:pPr>
              <w:spacing w:after="60" w:before="60" w:line="240" w:lineRule="auto"/>
              <w:jc w:val="left"/>
            </w:pPr>
            <w:r>
              <w:rPr>
                <w:rFonts w:ascii="Calibri" w:hAnsi="Calibri"/>
                <w:b/>
                <w:sz w:val="19"/>
              </w:rPr>
              <w:t>Controllo</w:t>
            </w:r>
          </w:p>
        </w:tc>
        <w:tc>
          <w:tcPr>
            <w:tcW w:type="dxa" w:w="4320"/>
            <w:vAlign w:val="center"/>
            <w:shd w:fill="DDEAF2"/>
            <w:tcMar>
              <w:top w:w="85" w:type="dxa"/>
              <w:left w:w="85" w:type="dxa"/>
              <w:bottom w:w="85" w:type="dxa"/>
              <w:right w:w="85" w:type="dxa"/>
            </w:tcMar>
          </w:tcPr>
          <w:p>
            <w:pPr>
              <w:spacing w:after="60" w:before="60" w:line="240" w:lineRule="auto"/>
              <w:jc w:val="center"/>
            </w:pPr>
            <w:r>
              <w:rPr>
                <w:rFonts w:ascii="Calibri" w:hAnsi="Calibri"/>
                <w:b/>
                <w:sz w:val="19"/>
              </w:rPr>
              <w:t>Stato</w:t>
            </w:r>
          </w:p>
        </w:tc>
      </w:tr>
      <w:tr>
        <w:trPr>
          <w:cantSplit/>
        </w:trPr>
        <w:tc>
          <w:tcPr>
            <w:tcW w:type="dxa" w:w="5040"/>
            <w:vAlign w:val="center"/>
            <w:shd w:fill="FFFFFF"/>
            <w:tcMar>
              <w:top w:w="85" w:type="dxa"/>
              <w:left w:w="85" w:type="dxa"/>
              <w:bottom w:w="85" w:type="dxa"/>
              <w:right w:w="85" w:type="dxa"/>
            </w:tcMar>
          </w:tcPr>
          <w:p>
            <w:pPr>
              <w:spacing w:after="60" w:before="60" w:line="240" w:lineRule="auto"/>
              <w:jc w:val="left"/>
            </w:pPr>
            <w:r>
              <w:rPr>
                <w:rFonts w:ascii="Calibri" w:hAnsi="Calibri"/>
                <w:b w:val="0"/>
                <w:sz w:val="19"/>
              </w:rPr>
              <w:t>Metriche dai ledger e totale PnL</w:t>
            </w:r>
          </w:p>
        </w:tc>
        <w:tc>
          <w:tcPr>
            <w:tcW w:type="dxa" w:w="4320"/>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Ricostruiti in questa consegna</w:t>
            </w:r>
          </w:p>
        </w:tc>
      </w:tr>
      <w:tr>
        <w:trPr>
          <w:cantSplit/>
        </w:trPr>
        <w:tc>
          <w:tcPr>
            <w:tcW w:type="dxa" w:w="5040"/>
            <w:vAlign w:val="center"/>
            <w:shd w:fill="F6F8FA"/>
            <w:tcMar>
              <w:top w:w="85" w:type="dxa"/>
              <w:left w:w="85" w:type="dxa"/>
              <w:bottom w:w="85" w:type="dxa"/>
              <w:right w:w="85" w:type="dxa"/>
            </w:tcMar>
          </w:tcPr>
          <w:p>
            <w:pPr>
              <w:spacing w:after="60" w:before="60" w:line="240" w:lineRule="auto"/>
              <w:jc w:val="left"/>
            </w:pPr>
            <w:r>
              <w:rPr>
                <w:rFonts w:ascii="Calibri" w:hAnsi="Calibri"/>
                <w:b w:val="0"/>
                <w:sz w:val="19"/>
              </w:rPr>
              <w:t>Classificazione dai 7.783 record</w:t>
            </w:r>
          </w:p>
        </w:tc>
        <w:tc>
          <w:tcPr>
            <w:tcW w:type="dxa" w:w="4320"/>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Conteggi e unicità controllati</w:t>
            </w:r>
          </w:p>
        </w:tc>
      </w:tr>
      <w:tr>
        <w:trPr>
          <w:cantSplit/>
        </w:trPr>
        <w:tc>
          <w:tcPr>
            <w:tcW w:type="dxa" w:w="5040"/>
            <w:vAlign w:val="center"/>
            <w:shd w:fill="FFFFFF"/>
            <w:tcMar>
              <w:top w:w="85" w:type="dxa"/>
              <w:left w:w="85" w:type="dxa"/>
              <w:bottom w:w="85" w:type="dxa"/>
              <w:right w:w="85" w:type="dxa"/>
            </w:tcMar>
          </w:tcPr>
          <w:p>
            <w:pPr>
              <w:spacing w:after="60" w:before="60" w:line="240" w:lineRule="auto"/>
              <w:jc w:val="left"/>
            </w:pPr>
            <w:r>
              <w:rPr>
                <w:rFonts w:ascii="Calibri" w:hAnsi="Calibri"/>
                <w:b w:val="0"/>
                <w:sz w:val="19"/>
              </w:rPr>
              <w:t>Ordine tick e close VXN</w:t>
            </w:r>
          </w:p>
        </w:tc>
        <w:tc>
          <w:tcPr>
            <w:tcW w:type="dxa" w:w="4320"/>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Audit storico parziale disponibile</w:t>
            </w:r>
          </w:p>
        </w:tc>
      </w:tr>
      <w:tr>
        <w:trPr>
          <w:cantSplit/>
        </w:trPr>
        <w:tc>
          <w:tcPr>
            <w:tcW w:type="dxa" w:w="5040"/>
            <w:vAlign w:val="center"/>
            <w:shd w:fill="F6F8FA"/>
            <w:tcMar>
              <w:top w:w="85" w:type="dxa"/>
              <w:left w:w="85" w:type="dxa"/>
              <w:bottom w:w="85" w:type="dxa"/>
              <w:right w:w="85" w:type="dxa"/>
            </w:tcMar>
          </w:tcPr>
          <w:p>
            <w:pPr>
              <w:spacing w:after="60" w:before="60" w:line="240" w:lineRule="auto"/>
              <w:jc w:val="left"/>
            </w:pPr>
            <w:r>
              <w:rPr>
                <w:rFonts w:ascii="Calibri" w:hAnsi="Calibri"/>
                <w:b w:val="0"/>
                <w:sz w:val="19"/>
              </w:rPr>
              <w:t>Dieci sedute manuali e implementazione indipendente</w:t>
            </w:r>
          </w:p>
        </w:tc>
        <w:tc>
          <w:tcPr>
            <w:tcW w:type="dxa" w:w="4320"/>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Non attestati come completi per tutte le sleeve</w:t>
            </w:r>
          </w:p>
        </w:tc>
      </w:tr>
      <w:tr>
        <w:trPr>
          <w:cantSplit/>
        </w:trPr>
        <w:tc>
          <w:tcPr>
            <w:tcW w:type="dxa" w:w="5040"/>
            <w:vAlign w:val="center"/>
            <w:shd w:fill="FFFFFF"/>
            <w:tcMar>
              <w:top w:w="85" w:type="dxa"/>
              <w:left w:w="85" w:type="dxa"/>
              <w:bottom w:w="85" w:type="dxa"/>
              <w:right w:w="85" w:type="dxa"/>
            </w:tcMar>
          </w:tcPr>
          <w:p>
            <w:pPr>
              <w:spacing w:after="60" w:before="60" w:line="240" w:lineRule="auto"/>
              <w:jc w:val="left"/>
            </w:pPr>
            <w:r>
              <w:rPr>
                <w:rFonts w:ascii="Calibri" w:hAnsi="Calibri"/>
                <w:b w:val="0"/>
                <w:sz w:val="19"/>
              </w:rPr>
              <w:t>MFE MAE dei trade e DD mark to market</w:t>
            </w:r>
          </w:p>
        </w:tc>
        <w:tc>
          <w:tcPr>
            <w:tcW w:type="dxa" w:w="4320"/>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Non ricostruiti in questa consegna</w:t>
            </w:r>
          </w:p>
        </w:tc>
      </w:tr>
      <w:tr>
        <w:trPr>
          <w:cantSplit/>
        </w:trPr>
        <w:tc>
          <w:tcPr>
            <w:tcW w:type="dxa" w:w="5040"/>
            <w:vAlign w:val="center"/>
            <w:shd w:fill="F6F8FA"/>
            <w:tcMar>
              <w:top w:w="85" w:type="dxa"/>
              <w:left w:w="85" w:type="dxa"/>
              <w:bottom w:w="85" w:type="dxa"/>
              <w:right w:w="85" w:type="dxa"/>
            </w:tcMar>
          </w:tcPr>
          <w:p>
            <w:pPr>
              <w:spacing w:after="60" w:before="60" w:line="240" w:lineRule="auto"/>
              <w:jc w:val="left"/>
            </w:pPr>
            <w:r>
              <w:rPr>
                <w:rFonts w:ascii="Calibri" w:hAnsi="Calibri"/>
                <w:b w:val="0"/>
                <w:sz w:val="19"/>
              </w:rPr>
              <w:t>Benchmark random entry appaiato</w:t>
            </w:r>
          </w:p>
        </w:tc>
        <w:tc>
          <w:tcPr>
            <w:tcW w:type="dxa" w:w="4320"/>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Da rifare sulla configurazione corrente</w:t>
            </w:r>
          </w:p>
        </w:tc>
      </w:tr>
      <w:tr>
        <w:trPr>
          <w:cantSplit/>
        </w:trPr>
        <w:tc>
          <w:tcPr>
            <w:tcW w:type="dxa" w:w="5040"/>
            <w:vAlign w:val="center"/>
            <w:shd w:fill="FFFFFF"/>
            <w:tcMar>
              <w:top w:w="85" w:type="dxa"/>
              <w:left w:w="85" w:type="dxa"/>
              <w:bottom w:w="85" w:type="dxa"/>
              <w:right w:w="85" w:type="dxa"/>
            </w:tcMar>
          </w:tcPr>
          <w:p>
            <w:pPr>
              <w:spacing w:after="60" w:before="60" w:line="240" w:lineRule="auto"/>
              <w:jc w:val="left"/>
            </w:pPr>
            <w:r>
              <w:rPr>
                <w:rFonts w:ascii="Calibri" w:hAnsi="Calibri"/>
                <w:b w:val="0"/>
                <w:sz w:val="19"/>
              </w:rPr>
              <w:t>Multiple testing sull’intera ricerca</w:t>
            </w:r>
          </w:p>
        </w:tc>
        <w:tc>
          <w:tcPr>
            <w:tcW w:type="dxa" w:w="4320"/>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Inventario completo dei trial da costruire</w:t>
            </w:r>
          </w:p>
        </w:tc>
      </w:tr>
      <w:tr>
        <w:trPr>
          <w:cantSplit/>
        </w:trPr>
        <w:tc>
          <w:tcPr>
            <w:tcW w:type="dxa" w:w="5040"/>
            <w:vAlign w:val="center"/>
            <w:shd w:fill="F6F8FA"/>
            <w:tcMar>
              <w:top w:w="85" w:type="dxa"/>
              <w:left w:w="85" w:type="dxa"/>
              <w:bottom w:w="85" w:type="dxa"/>
              <w:right w:w="85" w:type="dxa"/>
            </w:tcMar>
          </w:tcPr>
          <w:p>
            <w:pPr>
              <w:spacing w:after="60" w:before="60" w:line="240" w:lineRule="auto"/>
              <w:jc w:val="left"/>
            </w:pPr>
            <w:r>
              <w:rPr>
                <w:rFonts w:ascii="Calibri" w:hAnsi="Calibri"/>
                <w:b w:val="0"/>
                <w:sz w:val="19"/>
              </w:rPr>
              <w:t>Parità CVD storico nativo e calendario CAD</w:t>
            </w:r>
          </w:p>
        </w:tc>
        <w:tc>
          <w:tcPr>
            <w:tcW w:type="dxa" w:w="4320"/>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Da riconciliare</w:t>
            </w:r>
          </w:p>
        </w:tc>
      </w:tr>
      <w:tr>
        <w:trPr>
          <w:cantSplit/>
        </w:trPr>
        <w:tc>
          <w:tcPr>
            <w:tcW w:type="dxa" w:w="5040"/>
            <w:vAlign w:val="center"/>
            <w:shd w:fill="FFFFFF"/>
            <w:tcMar>
              <w:top w:w="85" w:type="dxa"/>
              <w:left w:w="85" w:type="dxa"/>
              <w:bottom w:w="85" w:type="dxa"/>
              <w:right w:w="85" w:type="dxa"/>
            </w:tcMar>
          </w:tcPr>
          <w:p>
            <w:pPr>
              <w:spacing w:after="60" w:before="60" w:line="240" w:lineRule="auto"/>
              <w:jc w:val="left"/>
            </w:pPr>
            <w:r>
              <w:rPr>
                <w:rFonts w:ascii="Calibri" w:hAnsi="Calibri"/>
                <w:b w:val="0"/>
                <w:sz w:val="19"/>
              </w:rPr>
              <w:t>SL TP OCO recovery e account demo</w:t>
            </w:r>
          </w:p>
        </w:tc>
        <w:tc>
          <w:tcPr>
            <w:tcW w:type="dxa" w:w="4320"/>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Richiedono evidenza operativa separata</w:t>
            </w:r>
          </w:p>
        </w:tc>
      </w:tr>
      <w:tr>
        <w:trPr>
          <w:cantSplit/>
        </w:trPr>
        <w:tc>
          <w:tcPr>
            <w:tcW w:type="dxa" w:w="5040"/>
            <w:vAlign w:val="center"/>
            <w:shd w:fill="F6F8FA"/>
            <w:tcMar>
              <w:top w:w="85" w:type="dxa"/>
              <w:left w:w="85" w:type="dxa"/>
              <w:bottom w:w="85" w:type="dxa"/>
              <w:right w:w="85" w:type="dxa"/>
            </w:tcMar>
          </w:tcPr>
          <w:p>
            <w:pPr>
              <w:spacing w:after="60" w:before="60" w:line="240" w:lineRule="auto"/>
              <w:jc w:val="left"/>
            </w:pPr>
            <w:r>
              <w:rPr>
                <w:rFonts w:ascii="Calibri" w:hAnsi="Calibri"/>
                <w:b w:val="0"/>
                <w:sz w:val="19"/>
              </w:rPr>
              <w:t>Holdout futuro a parametri congelati</w:t>
            </w:r>
          </w:p>
        </w:tc>
        <w:tc>
          <w:tcPr>
            <w:tcW w:type="dxa" w:w="4320"/>
            <w:vAlign w:val="center"/>
            <w:shd w:fill="F6F8FA"/>
            <w:tcMar>
              <w:top w:w="85" w:type="dxa"/>
              <w:left w:w="85" w:type="dxa"/>
              <w:bottom w:w="85" w:type="dxa"/>
              <w:right w:w="85" w:type="dxa"/>
            </w:tcMar>
          </w:tcPr>
          <w:p>
            <w:pPr>
              <w:spacing w:after="60" w:before="60" w:line="240" w:lineRule="auto"/>
              <w:jc w:val="center"/>
            </w:pPr>
            <w:r>
              <w:rPr>
                <w:rFonts w:ascii="Calibri" w:hAnsi="Calibri"/>
                <w:b w:val="0"/>
                <w:sz w:val="19"/>
              </w:rPr>
              <w:t>Da raccogliere</w:t>
            </w:r>
          </w:p>
        </w:tc>
      </w:tr>
      <w:tr>
        <w:trPr>
          <w:cantSplit/>
        </w:trPr>
        <w:tc>
          <w:tcPr>
            <w:tcW w:type="dxa" w:w="5040"/>
            <w:vAlign w:val="center"/>
            <w:shd w:fill="FFFFFF"/>
            <w:tcMar>
              <w:top w:w="85" w:type="dxa"/>
              <w:left w:w="85" w:type="dxa"/>
              <w:bottom w:w="85" w:type="dxa"/>
              <w:right w:w="85" w:type="dxa"/>
            </w:tcMar>
          </w:tcPr>
          <w:p>
            <w:pPr>
              <w:spacing w:after="60" w:before="60" w:line="240" w:lineRule="auto"/>
              <w:jc w:val="left"/>
            </w:pPr>
            <w:r>
              <w:rPr>
                <w:rFonts w:ascii="Calibri" w:hAnsi="Calibri"/>
                <w:b w:val="0"/>
                <w:sz w:val="19"/>
              </w:rPr>
              <w:t>Impaginazione Word renderizzata</w:t>
            </w:r>
          </w:p>
        </w:tc>
        <w:tc>
          <w:tcPr>
            <w:tcW w:type="dxa" w:w="4320"/>
            <w:vAlign w:val="center"/>
            <w:shd w:fill="FFFFFF"/>
            <w:tcMar>
              <w:top w:w="85" w:type="dxa"/>
              <w:left w:w="85" w:type="dxa"/>
              <w:bottom w:w="85" w:type="dxa"/>
              <w:right w:w="85" w:type="dxa"/>
            </w:tcMar>
          </w:tcPr>
          <w:p>
            <w:pPr>
              <w:spacing w:after="60" w:before="60" w:line="240" w:lineRule="auto"/>
              <w:jc w:val="center"/>
            </w:pPr>
            <w:r>
              <w:rPr>
                <w:rFonts w:ascii="Calibri" w:hAnsi="Calibri"/>
                <w:b w:val="0"/>
                <w:sz w:val="19"/>
              </w:rPr>
              <w:t>Non verificata per questa bozza autorizzata</w:t>
            </w:r>
          </w:p>
        </w:tc>
      </w:tr>
    </w:tbl>
    <w:p>
      <w:pPr>
        <w:spacing w:after="60"/>
      </w:pPr>
    </w:p>
    <w:p>
      <w:pPr>
        <w:pStyle w:val="Heading1"/>
      </w:pPr>
      <w:r>
        <w:t>32 Conclusione e prossima ricerca</w:t>
      </w:r>
    </w:p>
    <w:p>
      <w:pPr>
        <w:pStyle w:val="Normal"/>
      </w:pPr>
      <w:r>
        <w:rPr>
          <w:b w:val="0"/>
        </w:rPr>
        <w:t>Il risultato più chiaramente separabile è la capacità selettiva del modello VXN di distinguere espansione e contrazione nel range della barra successiva. Non implica direzione e non basta per prezzare o testare opzioni senza premi, spread, greche e volatilità implicita storica. Il ledger delle sei sleeve è positivo con correlazioni giornaliere contenute nel campione, ma contiene selezione di parametri e ipotesi di esecuzione ancora da certificare.</w:t>
      </w:r>
    </w:p>
    <w:p>
      <w:pPr>
        <w:pStyle w:val="Normal"/>
      </w:pPr>
      <w:r>
        <w:rPr>
          <w:b w:val="0"/>
        </w:rPr>
        <w:t>Il passo successivo è congelare versione e asset, fissare costi realistici prima del test, registrare tutti i segnali e i rifiuti e osservare il demo senza modificare le regole dopo le perdite. La validazione deve confrontare trade attesi e realizzati, protezioni, fill, coesposizioni e massimo DD mark to market. Dopo un campione nuovo sufficiente si potranno riesaminare affidabilità e capacità senza confondere ricerca retrospettiva e track record.</w:t>
      </w:r>
    </w:p>
    <w:p>
      <w:pPr>
        <w:pStyle w:val="Heading1"/>
      </w:pPr>
      <w:r>
        <w:t>33 Codice e fonti riproducibili</w:t>
      </w:r>
    </w:p>
    <w:p>
      <w:pPr>
        <w:pStyle w:val="Normal"/>
      </w:pPr>
      <w:r>
        <w:rPr>
          <w:b w:val="0"/>
        </w:rPr>
        <w:t>Le fonti sottostanti contengono codice, risultati derivati e condizioni di riproduzione. Le implementazioni storiche archiviate richiedono la struttura dati privata originale; i comandi pubblici riproducono invece metriche o test sintetici. Non si trasferisce una licenza sui dati grezzi né sullo SDK di Quantower.</w:t>
      </w:r>
    </w:p>
    <w:p>
      <w:pPr>
        <w:pStyle w:val="Normal"/>
      </w:pPr>
      <w:r>
        <w:rPr>
          <w:b w:val="0"/>
        </w:rPr>
        <w:t>[S1] Ledger e analytics di portafoglio. https://github.com/D3niel93/systematic-futures-portfolio-research</w:t>
      </w:r>
    </w:p>
    <w:p>
      <w:pPr>
        <w:pStyle w:val="Normal"/>
      </w:pPr>
      <w:r>
        <w:rPr>
          <w:b w:val="0"/>
        </w:rPr>
        <w:t>[S2] Predizioni VXN a 15 minuti e range numerico. https://github.com/D3niel93/intraday-volatility-regime-research</w:t>
      </w:r>
    </w:p>
    <w:p>
      <w:pPr>
        <w:pStyle w:val="Normal"/>
      </w:pPr>
      <w:r>
        <w:rPr>
          <w:b w:val="0"/>
        </w:rPr>
        <w:t>[S3] Audit cronologico e protocollo di validazione. https://github.com/D3niel93/event-driven-backtesting-lab</w:t>
      </w:r>
    </w:p>
    <w:p>
      <w:pPr>
        <w:pStyle w:val="Normal"/>
      </w:pPr>
      <w:r>
        <w:rPr>
          <w:b w:val="0"/>
        </w:rPr>
        <w:t>[S4] Fold VXN 5m bootstrap e cost stress. intraday-volatility-regime-research/data/walkforward_folds.csv e file adiacenti</w:t>
      </w:r>
    </w:p>
    <w:p>
      <w:pPr>
        <w:pStyle w:val="Normal"/>
      </w:pPr>
      <w:r>
        <w:rPr>
          <w:b w:val="0"/>
        </w:rPr>
        <w:t>[S5] Impulso adattivo e ledger a un MNQ. https://github.com/D3niel93/adaptive-futures-exit-research</w:t>
      </w:r>
    </w:p>
    <w:p>
      <w:pPr>
        <w:pStyle w:val="Normal"/>
      </w:pPr>
      <w:r>
        <w:rPr>
          <w:b w:val="0"/>
        </w:rPr>
        <w:t>[S6] CVD corrente e regole robuste. quantower-strategy-engine/adapters/CVD_Reversal_M6E_Live.cs</w:t>
      </w:r>
    </w:p>
    <w:p>
      <w:pPr>
        <w:pStyle w:val="Normal"/>
      </w:pPr>
      <w:r>
        <w:rPr>
          <w:b w:val="0"/>
        </w:rPr>
        <w:t>[S7] Motore C# e incidenti di startup. https://github.com/D3niel93/quantower-strategy-engine</w:t>
      </w:r>
    </w:p>
    <w:p>
      <w:pPr>
        <w:pStyle w:val="Normal"/>
      </w:pPr>
      <w:r>
        <w:rPr>
          <w:b w:val="0"/>
        </w:rPr>
        <w:t>[S8] Fonte delle idee Vault e Overnight. https://www.youtube.com/watch?v=A0G14JYYVTk</w:t>
      </w:r>
    </w:p>
    <w:p>
      <w:pPr>
        <w:pStyle w:val="Normal"/>
      </w:pPr>
      <w:r>
        <w:rPr>
          <w:b w:val="0"/>
        </w:rPr>
        <w:t>Origine del dato VXN giornaliero: Cboe, storico pubblico VXN_History.csv. Questo report non ha scaricato o rifatto il training su dati nuovi; la fonte serve a identificare il dato originario. Il report CVD fornito come esempio controlla la struttura narrativa e non viene usato come fonte delle metriche correnti.</w:t>
      </w:r>
    </w:p>
    <w:p>
      <w:pPr>
        <w:pStyle w:val="Heading1"/>
      </w:pPr>
      <w:r>
        <w:t>34 Appendice di riproduzione e interpretazione</w:t>
      </w:r>
    </w:p>
    <w:p>
      <w:pPr>
        <w:pStyle w:val="Normal"/>
      </w:pPr>
      <w:r>
        <w:rPr>
          <w:b w:val="0"/>
        </w:rPr>
        <w:t>Per ricostruire i report pubblici eseguire python report.py nelle repository portafoglio e Impulso; python evaluate.py nella repository VXN; python -m unittest discover -s tests -v per i test Python; dotnet run --project CoreChecks.csproj per i controlli sintetici C#. Lo SDK Quantower è un requisito separato, non distribuito.</w:t>
      </w:r>
    </w:p>
    <w:p>
      <w:pPr>
        <w:pStyle w:val="Normal"/>
      </w:pPr>
      <w:r>
        <w:rPr>
          <w:b w:val="0"/>
        </w:rPr>
        <w:t>Le simulazioni di questa consegna usano i file derivati pubblicati, seed 20261014, 10.000 permutazioni dei trade e tre bootstrap giornalieri da 10.000 repliche. La riproduzione di PnL grezzo, fill, excursion e segnali richiede i tick legalmente disponibili e una nuova riconciliazione indipendente. Eventuali incongruenze upstream devono interrompere l’uso operativo delle metriche, non essere mascherate da un grafico positivo.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pPr>
      <w:keepNext/>
    </w:pPr>
    <w:rPr>
      <w:color w:val="000000"/>
      <w:sz w:val="56"/>
      <w:szCs w:val="56"/>
    </w:rPr>
  </w:style>
  <w:style w:type="paragraph" w:styleId="Heading1">
    <w:name w:val="Heading 1"/>
    <w:basedOn w:val="Normal"/>
    <w:next w:val="Normal"/>
    <w:qFormat/>
    <w:pPr>
      <w:keepNext/>
    </w:pPr>
    <w:rPr>
      <w:color w:val="000000"/>
      <w:sz w:val="32"/>
      <w:szCs w:val="32"/>
    </w:rPr>
  </w:style>
  <w:style w:type="paragraph" w:styleId="Heading2">
    <w:name w:val="Heading 2"/>
    <w:basedOn w:val="Normal"/>
    <w:next w:val="Normal"/>
    <w:qFormat/>
    <w:pPr>
      <w:keepNext/>
    </w:pPr>
    <w:rPr>
      <w:color w:val="000000"/>
      <w:sz w:val="26"/>
      <w:szCs w:val="26"/>
    </w:rPr>
  </w:style>
  <w:style w:type="paragraph" w:styleId="Heading3">
    <w:name w:val="Heading 3"/>
    <w:basedOn w:val="Normal"/>
    <w:next w:val="Normal"/>
    <w:qFormat/>
    <w:pPr>
      <w:keepNext/>
    </w:pPr>
    <w:rPr>
      <w:color w:val="00000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customStyle="1" w:styleId="Normal">
    <w:name w:val="Normal"/>
    <w:pPr>
      <w:spacing w:after="140" w:line="264" w:lineRule="auto"/>
    </w:pPr>
    <w:rPr>
      <w:rFonts w:ascii="Calibri" w:hAnsi="Calibri"/>
      <w:sz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21" Type="http://schemas.openxmlformats.org/officeDocument/2006/relationships/fontTable" Target="fontTable.xml"/><Relationship Id="rId22" Type="http://schemas.openxmlformats.org/officeDocument/2006/relationships/image" Target="media/image1.png"/><Relationship Id="rId23" Type="http://schemas.openxmlformats.org/officeDocument/2006/relationships/image" Target="media/image2.png"/><Relationship Id="rId24" Type="http://schemas.openxmlformats.org/officeDocument/2006/relationships/image" Target="media/image3.png"/><Relationship Id="rId25" Type="http://schemas.openxmlformats.org/officeDocument/2006/relationships/image" Target="media/image4.png"/><Relationship Id="rId26" Type="http://schemas.openxmlformats.org/officeDocument/2006/relationships/image" Target="media/image5.png"/><Relationship Id="rId27" Type="http://schemas.openxmlformats.org/officeDocument/2006/relationships/image" Target="media/image6.png"/><Relationship Id="rId28" Type="http://schemas.openxmlformats.org/officeDocument/2006/relationships/image" Target="media/image7.png"/><Relationship Id="rId29" Type="http://schemas.openxmlformats.org/officeDocument/2006/relationships/image" Target="media/image8.png"/><Relationship Id="rId30" Type="http://schemas.openxmlformats.org/officeDocument/2006/relationships/image" Target="media/image9.png"/><Relationship Id="rId31" Type="http://schemas.openxmlformats.org/officeDocument/2006/relationships/image" Target="media/image10.png"/><Relationship Id="rId32" Type="http://schemas.openxmlformats.org/officeDocument/2006/relationships/image" Target="media/image1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dc:creator>
  <cp:lastModifiedBy>Un-named</cp:lastModifiedBy>
  <cp:revision>1</cp:revision>
  <dcterms:created xsi:type="dcterms:W3CDTF">2026-08-28T16:41:38.408Z</dcterms:created>
  <dcterms:modified xsi:type="dcterms:W3CDTF">2026-08-28T16:41:38.418Z</dcterms:modified>
  <dc:title>Systematic Futures Research Report</dc:title>
  <dc:subject>Ricerca sistematica su MNQ M6E e CAD</dc:subject>
  <cp:keywords>backtest, VXN, MNQ, M6E, MCD, 6C, ricerca quantitativa</cp:keywords>
  <dc:description>Contenuti e struttura controllati; impaginazione non verificata con render.</dc:description>
</cp:coreProperties>
</file>

<file path=docProps/custom.xml><?xml version="1.0" encoding="utf-8"?>
<Properties xmlns="http://schemas.openxmlformats.org/officeDocument/2006/custom-properties" xmlns:vt="http://schemas.openxmlformats.org/officeDocument/2006/docPropsVTypes"/>
</file>