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Citation Report</w:t>
      </w:r>
    </w:p>
    <w:p>
      <w:r>
        <w:t>Company: Centum Electronics</w:t>
      </w:r>
    </w:p>
    <w:p>
      <w:r>
        <w:t>Generated: 2026-02-04 06:10</w:t>
      </w:r>
    </w:p>
    <w:p>
      <w:r>
        <w:t>Total Claims: 35</w:t>
      </w:r>
    </w:p>
    <w:p>
      <w:r>
        <w:t>Verified: 30 (85.7%)</w:t>
      </w:r>
    </w:p>
    <w:p/>
    <w:p>
      <w:pPr>
        <w:pStyle w:val="Heading1"/>
      </w:pPr>
      <w:r>
        <w:t>Verified Citations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Slide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Claim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Reference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Flexible Engagement Models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products_services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Passenger Information Systems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products_services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Strategic Electronics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products_services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Electronics Manufacturing Solutions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products_services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Engineering Services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products_services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Aerospace, Defence, Space, Medical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industries_served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ISO/IEC 27001:2013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certifications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ISO-9001:2015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certifications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AS9100, Rev D, Aerospace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certifications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ISO 13485: 2003 Medical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certifications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Order from a defence organization:** Received an order fr...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key_operational_indicators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Order from a defence organization:** Secured an order fro...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key_operational_indicators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Manufacturing Facilities:** Manufacturing facilities are ...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key_operational_indicators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FY2025 Revenue: ₹116 Cr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financials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CAGR: 9.5%</w:t>
            </w:r>
          </w:p>
        </w:tc>
        <w:tc>
          <w:tcPr>
            <w:tcW w:type="dxa" w:w="2160"/>
          </w:tcPr>
          <w:p>
            <w:r>
              <w:t>calculated</w:t>
            </w:r>
          </w:p>
        </w:tc>
        <w:tc>
          <w:tcPr>
            <w:tcW w:type="dxa" w:w="2160"/>
          </w:tcPr>
          <w:p>
            <w:r>
              <w:t>Calculated from revenue data (2014-2025)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EBITDA Margin: 8.4%</w:t>
            </w:r>
          </w:p>
        </w:tc>
        <w:tc>
          <w:tcPr>
            <w:tcW w:type="dxa" w:w="2160"/>
          </w:tcPr>
          <w:p>
            <w:r>
              <w:t>calculated</w:t>
            </w:r>
          </w:p>
        </w:tc>
        <w:tc>
          <w:tcPr>
            <w:tcW w:type="dxa" w:w="2160"/>
          </w:tcPr>
          <w:p>
            <w:r>
              <w:t>Calculated: EBITDA/Revenue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RoCE: 4.4%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financials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ROE: 3.0%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financials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FY25: ₹116 Cr Revenue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Number 25 found in one-pager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Revenue CAGR: 9.5% (2014-2025)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Number 9.5 found in one-pager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Order from a defence organization:** Received a...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key_operational_indicators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Quality certified: ISO/IEC 27001:2013, ISO-9001...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certifications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Established Track Record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Strong Order Book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Diverse Clientele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Financial Performance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Expansion Plans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Growing Demand in Electronics Sector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Mar 2025: Strengthened partnership with Thales to manufactur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key_milestones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Feb 2025: Signed Teaming Agreement with Rafael to enhance in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key_milestones</w:t>
            </w:r>
          </w:p>
        </w:tc>
      </w:tr>
    </w:tbl>
    <w:p/>
    <w:p>
      <w:pPr>
        <w:pStyle w:val="Heading1"/>
      </w:pPr>
      <w:r>
        <w:t>Unverified Claims (EXCLUDED from PPT)</w:t>
      </w:r>
    </w:p>
    <w:p>
      <w:pPr>
        <w:pStyle w:val="ListBullet"/>
      </w:pPr>
      <w:r>
        <w:rPr>
          <w:b/>
        </w:rPr>
        <w:t xml:space="preserve">Slide 1: </w:t>
      </w:r>
      <w:r>
        <w:t>Aerospace</w:t>
      </w:r>
    </w:p>
    <w:p>
      <w:pPr>
        <w:pStyle w:val="ListBullet"/>
      </w:pPr>
      <w:r>
        <w:rPr>
          <w:b/>
        </w:rPr>
        <w:t xml:space="preserve">Slide 1: </w:t>
      </w:r>
      <w:r>
        <w:t>Defence</w:t>
      </w:r>
    </w:p>
    <w:p>
      <w:pPr>
        <w:pStyle w:val="ListBullet"/>
      </w:pPr>
      <w:r>
        <w:rPr>
          <w:b/>
        </w:rPr>
        <w:t xml:space="preserve">Slide 1: </w:t>
      </w:r>
      <w:r>
        <w:t>Space</w:t>
      </w:r>
    </w:p>
    <w:p>
      <w:pPr>
        <w:pStyle w:val="ListBullet"/>
      </w:pPr>
      <w:r>
        <w:rPr>
          <w:b/>
        </w:rPr>
        <w:t xml:space="preserve">Slide 1: </w:t>
      </w:r>
      <w:r>
        <w:t>Medical</w:t>
      </w:r>
    </w:p>
    <w:p>
      <w:pPr>
        <w:pStyle w:val="ListBullet"/>
      </w:pPr>
      <w:r>
        <w:rPr>
          <w:b/>
        </w:rPr>
        <w:t xml:space="preserve">Slide 3: </w:t>
      </w:r>
      <w:r>
        <w:t>Healthy 8% EBITDA margin</w:t>
      </w:r>
    </w:p>
    <w:p/>
    <w:p>
      <w:r>
        <w:t>---</w:t>
      </w:r>
    </w:p>
    <w:p>
      <w:r>
        <w:t>Strictly Private &amp; Confidential – Prepared by Kelp M&amp;A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