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Report: Centum Electronics</w:t>
      </w:r>
    </w:p>
    <w:p>
      <w:r>
        <w:rPr>
          <w:b/>
        </w:rPr>
        <w:t>Total Claims: 60</w:t>
        <w:br/>
      </w:r>
      <w:r>
        <w:t>Verified: 59 (98.3%)</w:t>
        <w:br/>
      </w:r>
      <w:r>
        <w:br/>
        <w:t>By Source Type:</w:t>
        <w:br/>
      </w:r>
      <w:r>
        <w:t xml:space="preserve">  • onepager: 52</w:t>
        <w:br/>
      </w:r>
      <w:r>
        <w:t xml:space="preserve">  • calculated: 4</w:t>
        <w:br/>
      </w:r>
      <w:r>
        <w:t xml:space="preserve">  • web: 3</w:t>
        <w:br/>
      </w:r>
      <w:r>
        <w:t xml:space="preserve">  • unverified: 1</w:t>
        <w:br/>
      </w:r>
    </w:p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r>
        <w:rPr>
          <w:b/>
        </w:rPr>
        <w:t xml:space="preserve">Claim: </w:t>
      </w:r>
      <w:r>
        <w:t>A diversified Indian tech firm offers customized defense &amp; aerospace products/services globally; specializes in mission-critical electronics with a strong customer base dating back to 1994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Flexible Engagement Models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Passenger Information Systems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Strategic Electronics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Electronics Manufacturing Solutions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Engineering Services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After Sales Services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Space Technology Solutions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Communications Solutions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Aerospace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Defence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Space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Medical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Automotive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Telecommunications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Order received - Defense Org. ILS subsystems by Dec 2024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Secured DRDO Space-EW payloads by '24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Manufacturing plants | 350k sqft | South India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Won Best Kaizen Excellence Award at NCQC, organized by QCFI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ISO/IEC 27001:2013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ISO-9001:2015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AS9100, Rev D, Aerospace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ISO 13485: 2003 Medical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IRIS Railway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pPr>
        <w:pStyle w:val="Heading2"/>
      </w:pPr>
      <w:r>
        <w:t>Slide 2</w:t>
      </w:r>
    </w:p>
    <w:p>
      <w:r>
        <w:rPr>
          <w:b/>
        </w:rPr>
        <w:t xml:space="preserve">Claim: </w:t>
      </w:r>
      <w:r>
        <w:t>FY21: ₹81.7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FY22: ₹78.0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FY23: ₹92.3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FY24: ₹109.1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FY25: ₹115.5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FY21: ₹9.0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FY22: ₹7.4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FY23: ₹7.6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FY24: ₹8.6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FY25: ₹9.7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Revenue CAGR: 9.5%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FY2014_Revenue)^(1/11) - 1) × 100</w:t>
        <w:br/>
        <w:t>= ((115.54 / 42.52)^(1/11) - 1) × 100</w:t>
        <w:br/>
        <w:t>= 9.5%</w:t>
      </w:r>
    </w:p>
    <w:p>
      <w:r>
        <w:t>---</w:t>
      </w:r>
    </w:p>
    <w:p>
      <w:r>
        <w:rPr>
          <w:b/>
        </w:rPr>
        <w:t xml:space="preserve">Claim: </w:t>
      </w:r>
      <w:r>
        <w:t>EBITDA Margin: 8.4%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EBITDA Margin = (FY2025_EBITDA / FY2025_Revenue) × 100</w:t>
        <w:br/>
        <w:t>= (9.67 / 115.54) × 100</w:t>
        <w:br/>
        <w:t>= 8.4%</w:t>
      </w:r>
    </w:p>
    <w:p>
      <w:r>
        <w:t>---</w:t>
      </w:r>
    </w:p>
    <w:p>
      <w:r>
        <w:rPr>
          <w:b/>
        </w:rPr>
        <w:t xml:space="preserve">Claim: </w:t>
      </w:r>
      <w:r>
        <w:t>RoCE: 4.4%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ROE: 3.0%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Apparao V Mallavarapu: 40.1%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Hdfc Trustee Company Limited: 8.2%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Apparao Venkata Mallavarapu: 35.6%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Hdfc Mutual Fund - Hdfc Multi Cap Fund: 9.7%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3p India Equity Fund 1: 5.8%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Industry Size: $15 billion (2024)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Source: IBEF / Mordor Intelligence estimates</w:t>
        <w:br/>
        <w:t>Data: India market size = $15 billion (2024)</w:t>
      </w:r>
    </w:p>
    <w:p>
      <w:r>
        <w:t>---</w:t>
      </w:r>
    </w:p>
    <w:p>
      <w:r>
        <w:rPr>
          <w:b/>
        </w:rPr>
        <w:t xml:space="preserve">Claim: </w:t>
      </w:r>
      <w:r>
        <w:t>Industry Growth: 7-9% (2024-2030)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Source: IBEF / Mordor Intelligence estimates</w:t>
        <w:br/>
        <w:t>Data: Industry CAGR = 7-9% (2024-2030)</w:t>
      </w:r>
    </w:p>
    <w:p>
      <w:r>
        <w:t>---</w:t>
      </w:r>
    </w:p>
    <w:p>
      <w:pPr>
        <w:pStyle w:val="Heading2"/>
      </w:pPr>
      <w:r>
        <w:t>Slide 3</w:t>
      </w:r>
    </w:p>
    <w:p>
      <w:r>
        <w:rPr>
          <w:b/>
        </w:rPr>
        <w:t xml:space="preserve">Claim: </w:t>
      </w:r>
      <w:r>
        <w:t>Established Track Record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Strong Order Book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Diverse Clientele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Financial Performance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Expansion Plans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Growing Demand in Electronics Sector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Thales strengthens flight avionics manufacturing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Feb 2025: Intel pact w/Rafael boosts India's intel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Mar 2025: Equity share listings approved by BSE, NSE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Feb 2024: Invest €3M in T&amp;S Group SA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Electronics Manufacturing Services (EMS) is expected to grow at 7-9% (2024-2030) CAGR, driven by PLI scheme, Make in Ind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FY2014_Revenue)^(1/11) - 1) × 100</w:t>
        <w:br/>
        <w:t>= ((115.54 / 42.52)^(1/11) - 1) × 100</w:t>
        <w:br/>
        <w:t>= 9.5%</w:t>
      </w:r>
    </w:p>
    <w:p>
      <w:r>
        <w:t>---</w:t>
      </w:r>
    </w:p>
    <w:p>
      <w:r>
        <w:rPr>
          <w:b/>
        </w:rPr>
        <w:t xml:space="preserve">Claim: </w:t>
      </w:r>
      <w:r>
        <w:t>10% revenue CAGR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FY2014_Revenue)^(1/11) - 1) × 100</w:t>
        <w:br/>
        <w:t>= ((115.54 / 42.52)^(1/11) - 1) × 100</w:t>
        <w:br/>
        <w:t>= 9.5%</w:t>
      </w:r>
    </w:p>
    <w:p>
      <w:r>
        <w:t>---</w:t>
      </w:r>
    </w:p>
    <w:p>
      <w:r>
        <w:rPr>
          <w:b/>
        </w:rPr>
        <w:t xml:space="preserve">Claim: </w:t>
      </w:r>
      <w:r>
        <w:t>Order from Defence Organization:** Received an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Positioned for PLI scheme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Source: IBEF / Mordor Intelligence estimates</w:t>
        <w:br/>
        <w:t>Industry drivers: PLI scheme, Make in India, Defense localization, EV adoption</w:t>
      </w:r>
    </w:p>
    <w:p>
      <w:r>
        <w:t>---</w:t>
      </w:r>
    </w:p>
    <w:p>
      <w:pPr>
        <w:pStyle w:val="Heading1"/>
      </w:pPr>
      <w:r>
        <w:t>Unverified Claims (Excluded from PPT)</w:t>
      </w:r>
    </w:p>
    <w:p>
      <w:r>
        <w:rPr>
          <w:b/>
        </w:rPr>
        <w:t xml:space="preserve">Slide 3: </w:t>
      </w:r>
      <w:r>
        <w:t>8% EBITDA margin</w:t>
      </w:r>
    </w:p>
    <w:p>
      <w:pPr>
        <w:ind w:left="432"/>
      </w:pPr>
      <w:r>
        <w:t>Reason: Calculated value not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