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b w:val="1"/>
        </w:rPr>
      </w:pPr>
      <w:bookmarkStart w:colFirst="0" w:colLast="0" w:name="_c21racpowude" w:id="0"/>
      <w:bookmarkEnd w:id="0"/>
      <w:r w:rsidDel="00000000" w:rsidR="00000000" w:rsidRPr="00000000">
        <w:rPr>
          <w:b w:val="1"/>
          <w:rtl w:val="0"/>
        </w:rPr>
        <w:t xml:space="preserve">2PL - 2 Phase Lock (Protocolo de alocação de trancas em duas fases)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bookmarkStart w:colFirst="0" w:colLast="0" w:name="_gclyrpvasmsn" w:id="1"/>
      <w:bookmarkEnd w:id="1"/>
      <w:r w:rsidDel="00000000" w:rsidR="00000000" w:rsidRPr="00000000">
        <w:rPr>
          <w:rtl w:val="0"/>
        </w:rPr>
        <w:t xml:space="preserve">Escalonamento seriável e recuperável.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libera nenhuma tranca até que todas as trancas estejam alocadas.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Rigoroso: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Libera todas as trancas somente </w:t>
      </w:r>
      <w:r w:rsidDel="00000000" w:rsidR="00000000" w:rsidRPr="00000000">
        <w:rPr>
          <w:rtl w:val="0"/>
        </w:rPr>
        <w:t xml:space="preserve">depois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Estrito: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Libera trancas de escrita somente </w:t>
      </w:r>
      <w:r w:rsidDel="00000000" w:rsidR="00000000" w:rsidRPr="00000000">
        <w:rPr>
          <w:rtl w:val="0"/>
        </w:rPr>
        <w:t xml:space="preserve">depois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Previne rollback em cascata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Conservativo: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Aloca todas as trancas antes de iniciar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2PC – 2 Phase Commit (Protocolo de commit em duas fases)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Caso a operação de uma transação falhe em algum nodo, todas outras operações desta transação nos outros nodos abortam.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95763" cy="31605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16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6238" cy="31608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6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color w:val="980000"/>
          <w:rtl w:val="0"/>
        </w:rPr>
        <w:br w:type="textWrapping"/>
      </w: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1º  (6 ptos) -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Seja o BD distribuído de um sistema de aprendizado vi Web, com o esquema global definido abaixo.                             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Benefiniario(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idB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, nome,uf)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Receita(idB, idT, valor, ano)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tipoReceita(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idT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, nome)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a)   Apresente expressões em álgebra relacional definindo os fragmentos e sua alocação nos nodos SC e RS, considerando: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  i.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    fragmentação horizontal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segundo o valor de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uf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(estado do Brasil);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ii. 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fragmentação horizontal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Receita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induzida pela fragmentação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  iii.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replicação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tipoReceita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em todos os nodos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..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b)   Considerando as fragmentações descritas no item anterior, forneça expressões SQL a serem processadas nos nodos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para solucionar a consulta abaixo, submetida ao nodo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, onde é esperado o resultado. As expressões fornecidas devem minimizar o tráfego em rede.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highlight w:val="white"/>
          <w:rtl w:val="0"/>
        </w:rPr>
        <w:t xml:space="preserve">(Obs: Parece que essa questão é mais complexa na prova, o exemplo abaixo é mais simples)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SELECT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D.idD,   D.nome,   COUNT(A.*)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AS nAlunos,  AVG(nota) AS nNotas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FROM    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Aluno A NATURAL JOIN Cursa C NATURAL JOIN Disciplina 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 D.idD, D.nome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98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2ª (4 ptos)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</w:rPr>
        <w:drawing>
          <wp:inline distB="114300" distT="114300" distL="114300" distR="114300">
            <wp:extent cx="6418898" cy="44958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89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a)R:</w:t>
      </w:r>
      <w:r w:rsidDel="00000000" w:rsidR="00000000" w:rsidRPr="00000000">
        <w:rPr>
          <w:sz w:val="28"/>
          <w:szCs w:val="28"/>
          <w:rtl w:val="0"/>
        </w:rPr>
        <w:t xml:space="preserve"> Se N2 falhar, Ci conseguirá commitar T2 (pois N2 já havia feito &lt;ready T2&gt;, e Ci já havia feito &lt;prepare T2&gt;), porém não conseguirá commitar T3 devido ao N2 não ter feito &lt;ready T3&gt;. Considerando 2PC, todos os nodos que estiverem executando T3 farão rollback/abortarão esta transação, garantindo atomicidade.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b)R:</w:t>
      </w:r>
      <w:r w:rsidDel="00000000" w:rsidR="00000000" w:rsidRPr="00000000">
        <w:rPr>
          <w:sz w:val="28"/>
          <w:szCs w:val="28"/>
          <w:rtl w:val="0"/>
        </w:rPr>
        <w:t xml:space="preserve"> Ci vai analisar o log de N1, e constatar que N1 havia feito &lt;ready T1&gt; e &lt;ready T2&gt;, assim podendo commitar já que Ci também fez &lt;prepare T1&gt; e &lt;prepare T2&gt;.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c)R:</w:t>
      </w:r>
      <w:r w:rsidDel="00000000" w:rsidR="00000000" w:rsidRPr="00000000">
        <w:rPr>
          <w:sz w:val="28"/>
          <w:szCs w:val="28"/>
          <w:rtl w:val="0"/>
        </w:rPr>
        <w:t xml:space="preserve"> Ci continuara o commit de T1 e T2 (tendo em vista que os nodos já deram ready para as transações, e Ci já havia feito prepare), e continuará esperando pelo &lt;ready T3&gt; do nodo N2, até esgotar o time-out e assim fazer rollback/abortar T3 em todos os nodos.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RESPOSTAS ENCONTRADAS NOS SLIDES DO PROF. RONALDO: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81638" cy="411990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11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86363" cy="393844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93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91088" cy="36848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8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29163" cy="354907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54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1063" cy="349856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49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705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