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6141927"/>
            <w:bookmarkStart w:id="1" w:name="_Toc146144237"/>
            <w:bookmarkStart w:id="2" w:name="_Toc146181306"/>
            <w:bookmarkStart w:id="3" w:name="_Toc147975557"/>
            <w:bookmarkStart w:id="4" w:name="_Toc148831182"/>
            <w:bookmarkStart w:id="5" w:name="_Toc148831501"/>
            <w:bookmarkStart w:id="6" w:name="_Toc148893873"/>
            <w:bookmarkStart w:id="7" w:name="_Toc151558469"/>
            <w:bookmarkStart w:id="8" w:name="_Toc151905452"/>
            <w:bookmarkStart w:id="9" w:name="_Toc152081181"/>
            <w:bookmarkStart w:id="10" w:name="_Toc152851886"/>
            <w:bookmarkStart w:id="11" w:name="_Toc153127603"/>
            <w:bookmarkStart w:id="12" w:name="_Toc15954110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3" w:name="_Toc146141928"/>
            <w:bookmarkStart w:id="14" w:name="_Toc146144238"/>
            <w:bookmarkStart w:id="15" w:name="_Toc146181307"/>
            <w:bookmarkStart w:id="16" w:name="_Toc147975558"/>
            <w:bookmarkStart w:id="17" w:name="_Toc148831183"/>
            <w:bookmarkStart w:id="18" w:name="_Toc148831502"/>
            <w:bookmarkStart w:id="19" w:name="_Toc148893874"/>
            <w:bookmarkStart w:id="20" w:name="_Toc151558470"/>
            <w:bookmarkStart w:id="21" w:name="_Toc151905453"/>
            <w:bookmarkStart w:id="22" w:name="_Toc152081182"/>
            <w:bookmarkStart w:id="23" w:name="_Toc152851887"/>
            <w:bookmarkStart w:id="24" w:name="_Toc153127604"/>
            <w:bookmarkStart w:id="25" w:name="_Toc1595411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6" w:name="_Toc146141929"/>
            <w:bookmarkStart w:id="27" w:name="_Toc146144239"/>
            <w:bookmarkStart w:id="28" w:name="_Toc146181308"/>
            <w:bookmarkStart w:id="29" w:name="_Toc147975559"/>
            <w:bookmarkStart w:id="30" w:name="_Toc148831184"/>
            <w:bookmarkStart w:id="31" w:name="_Toc148831503"/>
            <w:bookmarkStart w:id="32" w:name="_Toc148893875"/>
            <w:bookmarkStart w:id="33" w:name="_Toc151558471"/>
            <w:bookmarkStart w:id="34" w:name="_Toc151905454"/>
            <w:bookmarkStart w:id="35" w:name="_Toc152081183"/>
            <w:bookmarkStart w:id="36" w:name="_Toc152851888"/>
            <w:bookmarkStart w:id="37" w:name="_Toc153127605"/>
            <w:bookmarkStart w:id="38" w:name="_Toc15954110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9" w:name="_Toc146141930"/>
            <w:bookmarkStart w:id="40" w:name="_Toc146144240"/>
            <w:bookmarkStart w:id="41" w:name="_Toc146181309"/>
            <w:bookmarkStart w:id="42" w:name="_Toc147975560"/>
            <w:bookmarkStart w:id="43" w:name="_Toc148831185"/>
            <w:bookmarkStart w:id="44" w:name="_Toc148831504"/>
            <w:bookmarkStart w:id="45" w:name="_Toc148893876"/>
            <w:bookmarkStart w:id="46" w:name="_Toc151558472"/>
            <w:bookmarkStart w:id="47" w:name="_Toc151905455"/>
            <w:bookmarkStart w:id="48" w:name="_Toc152081184"/>
            <w:bookmarkStart w:id="49" w:name="_Toc152851889"/>
            <w:bookmarkStart w:id="50" w:name="_Toc153127606"/>
            <w:bookmarkStart w:id="51" w:name="_Toc1595411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>Управление семисегментными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«Схемотехника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2" w:name="_Toc102076491"/>
      <w:bookmarkStart w:id="53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4" w:name="_Toc146144241"/>
      <w:bookmarkStart w:id="55" w:name="_Toc146181310"/>
      <w:bookmarkStart w:id="56" w:name="_Toc147975561"/>
      <w:bookmarkStart w:id="57" w:name="_Toc148831186"/>
      <w:bookmarkStart w:id="58" w:name="_Toc148831505"/>
      <w:bookmarkStart w:id="59" w:name="_Toc148893877"/>
      <w:bookmarkStart w:id="60" w:name="_Toc151558473"/>
      <w:bookmarkStart w:id="61" w:name="_Toc151905456"/>
      <w:bookmarkStart w:id="62" w:name="_Toc152081185"/>
      <w:bookmarkStart w:id="63" w:name="_Toc152851890"/>
      <w:bookmarkStart w:id="64" w:name="_Toc153127607"/>
      <w:bookmarkStart w:id="65" w:name="_Toc159541104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4BDD005" w14:textId="54D33A51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F0DEA" w:rsidRPr="001F0D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7F71" w:rsidRPr="00567F7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0DEA" w:rsidRPr="00E97A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6" w:name="_Toc159541105" w:displacedByCustomXml="next"/>
    <w:bookmarkStart w:id="67" w:name="_Toc153127608" w:displacedByCustomXml="next"/>
    <w:bookmarkStart w:id="68" w:name="_Toc151905457" w:displacedByCustomXml="next"/>
    <w:bookmarkStart w:id="69" w:name="_Toc148893878" w:displacedByCustomXml="next"/>
    <w:bookmarkStart w:id="70" w:name="_Toc147975562" w:displacedByCustomXml="next"/>
    <w:bookmarkStart w:id="71" w:name="_Toc146144242" w:displacedByCustomXml="next"/>
    <w:bookmarkStart w:id="72" w:name="_Toc146181311" w:displacedByCustomXml="next"/>
    <w:bookmarkStart w:id="73" w:name="_Toc148831187" w:displacedByCustomXml="next"/>
    <w:bookmarkStart w:id="74" w:name="_Toc148831506" w:displacedByCustomXml="next"/>
    <w:bookmarkStart w:id="75" w:name="_Toc151558474" w:displacedByCustomXml="next"/>
    <w:bookmarkStart w:id="76" w:name="_Toc152081186" w:displacedByCustomXml="next"/>
    <w:bookmarkStart w:id="77" w:name="_Toc152851891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5CA763" w14:textId="77777777" w:rsidR="00567F71" w:rsidRPr="00E97A7C" w:rsidRDefault="000F2ECB" w:rsidP="000F2ECB">
          <w:pPr>
            <w:pStyle w:val="1"/>
            <w:spacing w:before="0" w:after="240" w:line="360" w:lineRule="auto"/>
            <w:rPr>
              <w:rFonts w:ascii="Times New Roman" w:hAnsi="Times New Roman" w:cs="Times New Roman"/>
              <w:b w:val="0"/>
              <w:noProof/>
              <w:sz w:val="28"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B094DFE" w14:textId="77777777" w:rsidR="00567F71" w:rsidRPr="00567F71" w:rsidRDefault="004D3B0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6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_Toc159541106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E271" w14:textId="5A08121B" w:rsidR="00567F71" w:rsidRPr="00567F71" w:rsidRDefault="004D3B0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7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НЕОБХОДИМЫХ МОДУЛЕЙ НА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VERILOG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HDL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_Toc159541107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C25F" w14:textId="07C9EF41" w:rsidR="00567F71" w:rsidRPr="00567F71" w:rsidRDefault="004D3B03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8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управления семисегментными индикаторами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_Toc159541108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8EA1" w14:textId="4AA6D2E6" w:rsidR="00567F71" w:rsidRPr="00567F71" w:rsidRDefault="004D3B03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9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верхнего уровня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_Toc159541109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D8157" w14:textId="78A73D36" w:rsidR="00567F71" w:rsidRPr="00567F71" w:rsidRDefault="004D3B0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0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ТЕСТОВОГО МОДУЛЯ И ЕГО ВЕРИФИКАЦИЯ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_Toc159541110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D20E" w14:textId="45927856" w:rsidR="00567F71" w:rsidRPr="00567F71" w:rsidRDefault="004D3B0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1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ФАЙЛА ПРОЕКТНЫХ ОГРАНИЧЕНИЙ И ЗАГРУЗКА ПРОЕКТА НА ОТЛАДОЧНУЮ ПЛАТУ NEXYS A7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_Toc159541111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28B2" w14:textId="77777777" w:rsidR="00567F71" w:rsidRPr="00567F71" w:rsidRDefault="004D3B0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2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_Toc159541112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04B1" w14:textId="77777777" w:rsidR="00567F71" w:rsidRDefault="004D3B0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59541113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_Toc159541113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8" w:name="_Toc159541106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8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вопросы индикации при помощи семисегментных индикаторов, объединённых в дисплей в составе отладочной платы серии Xilinx Nexys.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Xilinx Nexys. Для подтверждения ввода используется кнопка BTN_C платы Xilinx Nexys. Хранимая история ввода должна отображаться при помощи семисегментных индикаторов в составе платы Xilinx Nexys.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Nexys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5411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79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0" w:name="_Toc159541108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управления семисегментными индикаторами</w:t>
      </w:r>
      <w:bookmarkEnd w:id="80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отключения части семисегментных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710ABF65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Объявляются и инициализируются нулем 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 трехбитный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>» из восьмибитных проводов. Далее с помощью ключевого слова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«assign»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52F3B3AD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В следующем блоке «</w:t>
      </w:r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NUMBER_SPLITTER[digit_pos]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», с помощью логического сдвига на значение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EE4685">
        <w:rPr>
          <w:rFonts w:ascii="Times New Roman" w:hAnsi="Times New Roman" w:cs="Times New Roman"/>
          <w:sz w:val="28"/>
          <w:szCs w:val="28"/>
          <w:lang w:val="ru-RU"/>
        </w:rPr>
        <w:t>Блоки работают по переднему фронту.</w:t>
      </w:r>
    </w:p>
    <w:p w14:paraId="4F588878" w14:textId="286E5AD4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1.1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3AE2" w:rsidRPr="00783A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 управления семисегментными индикаторами</w:t>
      </w:r>
    </w:p>
    <w:p w14:paraId="4085E78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module seven_segment_led(</w:t>
      </w:r>
    </w:p>
    <w:p w14:paraId="6C10B9B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input [7:0] AN_MASK,</w:t>
      </w:r>
    </w:p>
    <w:p w14:paraId="58B1120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input [31:0] NUMBER,</w:t>
      </w:r>
    </w:p>
    <w:p w14:paraId="1C0E205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input RESET,</w:t>
      </w:r>
    </w:p>
    <w:p w14:paraId="64FA819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input clk,</w:t>
      </w:r>
    </w:p>
    <w:p w14:paraId="794B5B1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output [7:0] AN,</w:t>
      </w:r>
    </w:p>
    <w:p w14:paraId="5AF2999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output reg [7:0] SEG);</w:t>
      </w:r>
    </w:p>
    <w:p w14:paraId="27FBD31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2DEA00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reg [7:0] AN_REG = 0;</w:t>
      </w:r>
    </w:p>
    <w:p w14:paraId="31AF0C7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wire [3:0] NUMBER_SPLITTER [0:7];</w:t>
      </w:r>
    </w:p>
    <w:p w14:paraId="237EAAE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reg [2:0] digit_pos = 0;</w:t>
      </w:r>
    </w:p>
    <w:p w14:paraId="4D6EE65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884917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genvar i;</w:t>
      </w:r>
    </w:p>
    <w:p w14:paraId="3168BFE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generate</w:t>
      </w:r>
    </w:p>
    <w:p w14:paraId="1A963AB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for (i = 0; i &lt; 8; i = i + 1)</w:t>
      </w:r>
    </w:p>
    <w:p w14:paraId="10572A6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begin</w:t>
      </w:r>
    </w:p>
    <w:p w14:paraId="7B0202B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assign NUMBER_SPLITTER[i] = NUMBER[((i+1)*4-1)-:4];</w:t>
      </w:r>
    </w:p>
    <w:p w14:paraId="172FE04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end</w:t>
      </w:r>
    </w:p>
    <w:p w14:paraId="22BBF8E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endgenerate</w:t>
      </w:r>
    </w:p>
    <w:p w14:paraId="2048B27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F2BB4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assign AN = AN_REG | AN_MASK;</w:t>
      </w:r>
    </w:p>
    <w:p w14:paraId="3E07299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3D2A84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always@(posedge clk)</w:t>
      </w:r>
    </w:p>
    <w:p w14:paraId="338E3DE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digit_pos &lt;= RESET ? 0: digit_pos + 3'b1;</w:t>
      </w:r>
    </w:p>
    <w:p w14:paraId="72EA854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A0839B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always@(posedge clk)</w:t>
      </w:r>
    </w:p>
    <w:p w14:paraId="189A95B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</w:p>
    <w:p w14:paraId="7D6E79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case (NUMBER_SPLITTER[digit_pos])</w:t>
      </w:r>
    </w:p>
    <w:p w14:paraId="1244868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69E9615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394792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09BEDCA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7A24B20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6CCDFCC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3567101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4DE247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7CD0B7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6E2901E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3639E1B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65940BC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7B93DDC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72AF0B8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4'hd: SEG &lt;= 8'b10100001;</w:t>
      </w:r>
    </w:p>
    <w:p w14:paraId="40593E5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3AB9476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70F606C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default: SEG &lt;= 8'b11111111;</w:t>
      </w:r>
    </w:p>
    <w:p w14:paraId="296FB70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endcase</w:t>
      </w:r>
    </w:p>
    <w:p w14:paraId="3DCD1ED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125311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AN_REG &lt;= ~(8'd1 &lt;&lt; digit_pos);</w:t>
      </w:r>
    </w:p>
    <w:p w14:paraId="0ADA0DEA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46722C0B" w14:textId="77777777" w:rsidR="00B52AFF" w:rsidRDefault="00B52AFF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EB6580" w14:textId="6266D8D8" w:rsidR="009F2794" w:rsidRPr="00A0349D" w:rsidRDefault="00EA6461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1B4773E3" w14:textId="23FCF27A" w:rsidR="00C8580E" w:rsidRDefault="00B52AFF" w:rsidP="00C32C2D">
      <w:pPr>
        <w:pStyle w:val="aa"/>
        <w:spacing w:before="120"/>
      </w:pPr>
      <w:r w:rsidRPr="00B52AFF">
        <w:rPr>
          <w:noProof/>
          <w:lang w:eastAsia="ru-RU"/>
        </w:rPr>
        <w:lastRenderedPageBreak/>
        <w:drawing>
          <wp:inline distT="0" distB="0" distL="0" distR="0" wp14:anchorId="39EEF130" wp14:editId="69A83CA4">
            <wp:extent cx="6120765" cy="186295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>модуля управления семисегментными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5411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1"/>
    </w:p>
    <w:p w14:paraId="59769205" w14:textId="6FA4BFAD" w:rsidR="00884973" w:rsidRPr="00C8580E" w:rsidRDefault="00812918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модуля верхнего уровня необходимо 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нему 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6EDCC2DE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D131F3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D131F3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always@(posedge clk)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6646838A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042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38CF1C01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делителя частоты и фильтра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input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input dir,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output reg [$clog2(MODULE)-1:0] cnt);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initial cnt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always@(posedge clk)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if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begin</w:t>
      </w:r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if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cnt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else if (dir)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cnt = (cnt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else</w:t>
      </w:r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cnt = (MODULE + (cnt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end</w:t>
      </w:r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014BC355" w14:textId="732AFC92" w:rsidR="00C8580E" w:rsidRDefault="00E73F71" w:rsidP="00C32C2D">
      <w:pPr>
        <w:pStyle w:val="aa"/>
        <w:spacing w:before="120"/>
      </w:pPr>
      <w:r w:rsidRPr="00E73F71">
        <w:rPr>
          <w:noProof/>
          <w:lang w:eastAsia="ru-RU"/>
        </w:rPr>
        <w:drawing>
          <wp:inline distT="0" distB="0" distL="0" distR="0" wp14:anchorId="53286E37" wp14:editId="43F3A230">
            <wp:extent cx="6161827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708" cy="29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095C1533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сигнала, чтобы информация на диспле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>е была хорошо видна человеческому глазу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42BFD6D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>module clk_div #(DIV = 2) (</w:t>
      </w:r>
    </w:p>
    <w:p w14:paraId="54A25ADD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input clk,</w:t>
      </w:r>
    </w:p>
    <w:p w14:paraId="7384AFD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output reg clk_d);</w:t>
      </w:r>
    </w:p>
    <w:p w14:paraId="4459D578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55F2FD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>wire [$clog2(DIV/2)-1:0] cnt;</w:t>
      </w:r>
    </w:p>
    <w:p w14:paraId="6FBB1D60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862D6A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>counter #(.STEP(1), .MODULE(DIV/2)) cntr(</w:t>
      </w:r>
    </w:p>
    <w:p w14:paraId="02D1720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.clk(clk),</w:t>
      </w:r>
    </w:p>
    <w:p w14:paraId="380F3FC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.reset(1'd0),</w:t>
      </w:r>
    </w:p>
    <w:p w14:paraId="3C0F27C4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.dir(1'd1),</w:t>
      </w:r>
    </w:p>
    <w:p w14:paraId="2C754C9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.enable(1'd1),</w:t>
      </w:r>
    </w:p>
    <w:p w14:paraId="2B081426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.cnt(cnt));</w:t>
      </w:r>
    </w:p>
    <w:p w14:paraId="6FF9C0B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63B859" w14:textId="6FD2B6A0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initial clk_d </w:t>
      </w:r>
      <w:r w:rsidRPr="00812918">
        <w:rPr>
          <w:rFonts w:ascii="Courier New" w:hAnsi="Courier New" w:cs="Courier New"/>
          <w:color w:val="333333"/>
          <w:shd w:val="clear" w:color="auto" w:fill="FFFFFF"/>
        </w:rPr>
        <w:t>= 0;</w:t>
      </w:r>
    </w:p>
    <w:p w14:paraId="1BA41643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6B959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>always@(posedge clk)</w:t>
      </w:r>
    </w:p>
    <w:p w14:paraId="143136D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if (cnt == 0) </w:t>
      </w:r>
    </w:p>
    <w:p w14:paraId="3F12AA9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    clk_d = ~clk_d;</w:t>
      </w:r>
    </w:p>
    <w:p w14:paraId="4A26E37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812918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4147D06F" w14:textId="50443B66" w:rsidR="00E53C52" w:rsidRDefault="00812918" w:rsidP="00C32C2D">
      <w:pPr>
        <w:pStyle w:val="aa"/>
        <w:spacing w:before="120"/>
      </w:pPr>
      <w:r w:rsidRPr="00812918">
        <w:rPr>
          <w:noProof/>
          <w:lang w:eastAsia="ru-RU"/>
        </w:rPr>
        <w:drawing>
          <wp:inline distT="0" distB="0" distL="0" distR="0" wp14:anchorId="64A78946" wp14:editId="007EC5BC">
            <wp:extent cx="6090116" cy="27889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57E4C3CD" w14:textId="7E387838" w:rsidR="00C32C2D" w:rsidRDefault="00E53C52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918" w:rsidRPr="00A202CA">
        <w:rPr>
          <w:rFonts w:ascii="Times New Roman" w:hAnsi="Times New Roman" w:cs="Times New Roman"/>
          <w:sz w:val="28"/>
          <w:szCs w:val="28"/>
          <w:lang w:val="ru-RU"/>
        </w:rPr>
        <w:t>контактов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7380" w14:textId="77777777" w:rsidR="00C32C2D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89D5D" w14:textId="77777777" w:rsidR="00C32C2D" w:rsidRPr="00A202CA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0FC5FFF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module debouncer #(MODULE = 8)(</w:t>
      </w:r>
    </w:p>
    <w:p w14:paraId="39FA2D8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clk, </w:t>
      </w:r>
    </w:p>
    <w:p w14:paraId="4DB0883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in_signal,</w:t>
      </w:r>
    </w:p>
    <w:p w14:paraId="0866F52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CLOCK_ENABLE,</w:t>
      </w:r>
    </w:p>
    <w:p w14:paraId="70D7E26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output reg out_signal,</w:t>
      </w:r>
    </w:p>
    <w:p w14:paraId="2516B38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output reg out_signal_enable);</w:t>
      </w:r>
    </w:p>
    <w:p w14:paraId="72F2684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987AD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wire sync_signal;</w:t>
      </w:r>
    </w:p>
    <w:p w14:paraId="6CAE33F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wire [$clog2(MODULE)-1:0] counter_res;</w:t>
      </w:r>
    </w:p>
    <w:p w14:paraId="720BA59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3DBF0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synchronizer sinc(.in(in_signal), .clk(clk), .out(sync_signal));</w:t>
      </w:r>
    </w:p>
    <w:p w14:paraId="67A6B20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08614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counter #(.MODULE(MODULE), .STEP(1'b1)) cntr(</w:t>
      </w:r>
    </w:p>
    <w:p w14:paraId="3987C29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.clk(clk), </w:t>
      </w:r>
    </w:p>
    <w:p w14:paraId="284216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.reset(sync_signal~^out_signal), </w:t>
      </w:r>
    </w:p>
    <w:p w14:paraId="0A69997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.enable(CLOCK_ENABLE), </w:t>
      </w:r>
    </w:p>
    <w:p w14:paraId="10303DD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.dir(1'b1), </w:t>
      </w:r>
    </w:p>
    <w:p w14:paraId="25C07CD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.cnt(counter_res));</w:t>
      </w:r>
    </w:p>
    <w:p w14:paraId="64828FA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CF1A4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always@(posedge clk) </w:t>
      </w:r>
    </w:p>
    <w:p w14:paraId="472F9FE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if (&amp; (counter_res) &amp; CLOCK_ENABLE)</w:t>
      </w:r>
    </w:p>
    <w:p w14:paraId="0916753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out_signal &lt;= sync_signal;</w:t>
      </w:r>
    </w:p>
    <w:p w14:paraId="3D9B114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28BE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always@(posedge clk) </w:t>
      </w:r>
    </w:p>
    <w:p w14:paraId="73EE4F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out_signal_enable &lt;= &amp; (counter_res) &amp; sync_signal &amp; CLOCK_ENABLE;</w:t>
      </w:r>
    </w:p>
    <w:p w14:paraId="186E88E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A370334" w14:textId="427D699F" w:rsidR="00C32C2D" w:rsidRPr="00873C6C" w:rsidRDefault="00C32C2D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03132B73" w14:textId="77777777" w:rsidR="00A202CA" w:rsidRDefault="00A202CA" w:rsidP="00C32C2D">
      <w:pPr>
        <w:pStyle w:val="aa"/>
        <w:spacing w:before="120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«digit»  - цифра, которую необходимо отобразить на дисплее, входной порт «en_button» - кнопка для разрешения записи, синхросигнал «clk», входной порт «reset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«an» – шина разрешающих входов анодов для всех индикаторов, «seg» - шина катодов для одного индикатора.</w:t>
      </w:r>
    </w:p>
    <w:p w14:paraId="6767E96B" w14:textId="04072B4A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отключения части семисегментных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8'b11111110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(используется для 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введенных значений) и инициализируется значением 0. Объявляется цепь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«clk»,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«led_clk»,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31D8B4A7" w:rsidR="007E1CF7" w:rsidRPr="00DF3F96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«clk», «in_signal»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«CLOCK_ENABLE»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«out_signal_enable»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«clk», «en_button»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«1'b1»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«deb_en</w:t>
      </w:r>
      <w:r w:rsidR="00D11291"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E97A7C">
        <w:rPr>
          <w:rFonts w:ascii="Times New Roman" w:hAnsi="Times New Roman" w:cs="Times New Roman"/>
          <w:sz w:val="28"/>
          <w:szCs w:val="28"/>
        </w:rPr>
        <w:t>.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«debouncer»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«clk», «in_signal»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«CLOCK_ENABLE»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«out_signal_enable»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="00DF3F96">
        <w:rPr>
          <w:rFonts w:ascii="Times New Roman" w:hAnsi="Times New Roman" w:cs="Times New Roman"/>
          <w:sz w:val="28"/>
          <w:szCs w:val="28"/>
        </w:rPr>
        <w:t xml:space="preserve"> «clk», «reset</w:t>
      </w:r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«1'b1»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r w:rsidR="00905960" w:rsidRPr="00DF3F96">
        <w:rPr>
          <w:rFonts w:ascii="Times New Roman" w:hAnsi="Times New Roman" w:cs="Times New Roman"/>
          <w:sz w:val="28"/>
          <w:szCs w:val="28"/>
        </w:rPr>
        <w:t>deb_reset</w:t>
      </w:r>
      <w:r w:rsidR="00D11291"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DF3F96">
        <w:rPr>
          <w:rFonts w:ascii="Times New Roman" w:hAnsi="Times New Roman" w:cs="Times New Roman"/>
          <w:sz w:val="28"/>
          <w:szCs w:val="28"/>
        </w:rPr>
        <w:t>.</w:t>
      </w:r>
    </w:p>
    <w:p w14:paraId="3D209568" w14:textId="71337953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1024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4140E5CF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обновляется последняя цифра регистра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регистрам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>» значение 1,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4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 xml:space="preserve"> влево,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r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 xml:space="preserve"> Блок работае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т по переднему фронту синхросигнала.</w:t>
      </w:r>
    </w:p>
    <w:p w14:paraId="3E46CC83" w14:textId="3A673BFA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97A7C" w:rsidRPr="00E97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A7C">
        <w:rPr>
          <w:rFonts w:ascii="Times New Roman" w:hAnsi="Times New Roman" w:cs="Times New Roman"/>
          <w:sz w:val="28"/>
          <w:szCs w:val="28"/>
          <w:lang w:val="ru-RU"/>
        </w:rPr>
        <w:t>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представлена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3B126CB7" w14:textId="77777777" w:rsidR="00C32C2D" w:rsidRPr="00E97A7C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4CE176E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input [3:0] digit,</w:t>
      </w:r>
    </w:p>
    <w:p w14:paraId="009C691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en_button,</w:t>
      </w:r>
    </w:p>
    <w:p w14:paraId="0B7989E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clk,</w:t>
      </w:r>
    </w:p>
    <w:p w14:paraId="50AB386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input reset,</w:t>
      </w:r>
    </w:p>
    <w:p w14:paraId="539EDD0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output [7:0] an,</w:t>
      </w:r>
    </w:p>
    <w:p w14:paraId="1093555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output [7:0] seg);</w:t>
      </w:r>
    </w:p>
    <w:p w14:paraId="7F3D38E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1ED88B3" w14:textId="4249F9E0" w:rsidR="00E834CE" w:rsidRPr="00370DF9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1.6</w:t>
      </w:r>
    </w:p>
    <w:p w14:paraId="7F64DDF6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= 8'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b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>11111110;</w:t>
      </w:r>
    </w:p>
    <w:p w14:paraId="5BA41E67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reg [31:0] number = 0;</w:t>
      </w:r>
    </w:p>
    <w:p w14:paraId="422F2EF5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wire led_clk;</w:t>
      </w:r>
    </w:p>
    <w:p w14:paraId="2729492B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wire deb_en, deb_reset;</w:t>
      </w:r>
    </w:p>
    <w:p w14:paraId="03EB92A1" w14:textId="77777777" w:rsidR="00370DF9" w:rsidRPr="00370DF9" w:rsidRDefault="00370DF9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CFF653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seven_segment_led led(</w:t>
      </w:r>
    </w:p>
    <w:p w14:paraId="5CDA0B8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.AN_MASK(mask),</w:t>
      </w:r>
    </w:p>
    <w:p w14:paraId="33F9F8A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.NUMBER(number),</w:t>
      </w:r>
    </w:p>
    <w:p w14:paraId="17C46BF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.RESET(1'b0),</w:t>
      </w:r>
    </w:p>
    <w:p w14:paraId="656DD7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.clk(led_clk),</w:t>
      </w:r>
    </w:p>
    <w:p w14:paraId="41F1AA0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.AN(an),</w:t>
      </w:r>
    </w:p>
    <w:p w14:paraId="6F15E9B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.SEG(seg));</w:t>
      </w:r>
    </w:p>
    <w:p w14:paraId="36B53E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22F30F2" w14:textId="6ADE9212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debouncer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128) deb1(</w:t>
      </w:r>
    </w:p>
    <w:p w14:paraId="4775AB0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.clk(clk), </w:t>
      </w:r>
    </w:p>
    <w:p w14:paraId="082FE43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.in_signal(en_button),</w:t>
      </w:r>
    </w:p>
    <w:p w14:paraId="305311A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.CLOCK_ENABLE(1'b1),</w:t>
      </w:r>
    </w:p>
    <w:p w14:paraId="7DD947A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.out_signal(),</w:t>
      </w:r>
    </w:p>
    <w:p w14:paraId="139EA1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.out_signal_enable(deb_en));</w:t>
      </w:r>
    </w:p>
    <w:p w14:paraId="47A81D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776EC3B" w14:textId="6BB9E371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debouncer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8) deb2(</w:t>
      </w:r>
    </w:p>
    <w:p w14:paraId="48514DF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.clk(clk), </w:t>
      </w:r>
    </w:p>
    <w:p w14:paraId="72285E2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.in_signal(reset),</w:t>
      </w:r>
    </w:p>
    <w:p w14:paraId="11B1208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.CLOCK_ENABLE(1'b1),</w:t>
      </w:r>
    </w:p>
    <w:p w14:paraId="533A194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.out_signal(),</w:t>
      </w:r>
    </w:p>
    <w:p w14:paraId="76E8E67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.out_signal_enable(deb_reset));</w:t>
      </w:r>
    </w:p>
    <w:p w14:paraId="5FDEB1C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5823C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621B88" w14:textId="0EB62D8A" w:rsidR="00C32C2D" w:rsidRPr="00C32C2D" w:rsidRDefault="00DD75A6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clk_div #(1024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) div(</w:t>
      </w:r>
    </w:p>
    <w:p w14:paraId="03C702C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.clk(clk),</w:t>
      </w:r>
    </w:p>
    <w:p w14:paraId="04C1717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.clk_d(led_clk));</w:t>
      </w:r>
    </w:p>
    <w:p w14:paraId="0C2BBE4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52F528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always@(posedge clk)</w:t>
      </w:r>
    </w:p>
    <w:p w14:paraId="037EE43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begin</w:t>
      </w:r>
    </w:p>
    <w:p w14:paraId="353628F4" w14:textId="0DCDE104" w:rsidR="00C32C2D" w:rsidRPr="00C32C2D" w:rsidRDefault="002E03F3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 xml:space="preserve">number </w:t>
      </w:r>
      <w:bookmarkStart w:id="82" w:name="_GoBack"/>
      <w:bookmarkEnd w:id="82"/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= {number[31:4], digit};</w:t>
      </w:r>
    </w:p>
    <w:p w14:paraId="79CDE94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if (deb_reset) </w:t>
      </w:r>
    </w:p>
    <w:p w14:paraId="6B7A9A4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begin</w:t>
      </w:r>
    </w:p>
    <w:p w14:paraId="597CDDF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mask = 8'b11111110;</w:t>
      </w:r>
    </w:p>
    <w:p w14:paraId="265C670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number = 0;</w:t>
      </w:r>
    </w:p>
    <w:p w14:paraId="41E8917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end</w:t>
      </w:r>
    </w:p>
    <w:p w14:paraId="1222597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if (deb_en)</w:t>
      </w:r>
    </w:p>
    <w:p w14:paraId="4ACF7AD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begin</w:t>
      </w:r>
    </w:p>
    <w:p w14:paraId="14A80B3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mask = mask &lt;&lt; 1;</w:t>
      </w:r>
    </w:p>
    <w:p w14:paraId="0DC3A5B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number = number &lt;&lt; 4;</w:t>
      </w:r>
    </w:p>
    <w:p w14:paraId="25B8F15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end</w:t>
      </w:r>
    </w:p>
    <w:p w14:paraId="430F4F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741CBE8F" w14:textId="77777777" w:rsidR="00E834CE" w:rsidRPr="00C32C2D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</w:p>
    <w:p w14:paraId="07EF1581" w14:textId="07A7A9BB" w:rsidR="00A202CA" w:rsidRDefault="002E03F3" w:rsidP="00A202CA">
      <w:pPr>
        <w:pStyle w:val="aa"/>
      </w:pPr>
      <w:r w:rsidRPr="002E03F3">
        <w:rPr>
          <w:noProof/>
          <w:lang w:eastAsia="ru-RU"/>
        </w:rPr>
        <w:drawing>
          <wp:inline distT="0" distB="0" distL="0" distR="0" wp14:anchorId="4627309E" wp14:editId="1757BA7B">
            <wp:extent cx="6120765" cy="174861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3" w:name="_Toc1595411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3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Объявляются две восьмибитные цепи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360B758D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каждые 5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 регистр «</w:t>
      </w:r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>» меняет свое значение на противоположное.</w:t>
      </w:r>
    </w:p>
    <w:p w14:paraId="23B14295" w14:textId="6D0CAD6C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</w:t>
      </w:r>
      <w:r w:rsidR="00370DF9" w:rsidRPr="00370D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нажатия на 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кнопку, чтобы разрешить запись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538774FA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11B4AE2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ps</w:t>
      </w:r>
    </w:p>
    <w:p w14:paraId="5B8AF44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7CC9176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module test;</w:t>
      </w:r>
    </w:p>
    <w:p w14:paraId="4994010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F7E99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reg [3:0] inp = 4'b0000;</w:t>
      </w:r>
    </w:p>
    <w:p w14:paraId="3ACA333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reg reset = 0;</w:t>
      </w:r>
    </w:p>
    <w:p w14:paraId="7A1B45C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wire [7:0] seg;</w:t>
      </w:r>
    </w:p>
    <w:p w14:paraId="0351C99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wire [7:0] an;</w:t>
      </w:r>
    </w:p>
    <w:p w14:paraId="73AFE3C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reg clk = 0;</w:t>
      </w:r>
    </w:p>
    <w:p w14:paraId="3DC2F48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reg button = 0;</w:t>
      </w:r>
    </w:p>
    <w:p w14:paraId="7B2CEEA2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5CBB12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main m(.digit(inp), </w:t>
      </w:r>
    </w:p>
    <w:p w14:paraId="7257885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.en_button(button), </w:t>
      </w:r>
    </w:p>
    <w:p w14:paraId="23158E4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.clk(clk), </w:t>
      </w:r>
    </w:p>
    <w:p w14:paraId="0CFF0CC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.reset(reset), </w:t>
      </w:r>
    </w:p>
    <w:p w14:paraId="2F9A453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.an(an), </w:t>
      </w:r>
    </w:p>
    <w:p w14:paraId="4C5D889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.seg(seg));</w:t>
      </w:r>
    </w:p>
    <w:p w14:paraId="3B4F267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6834984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always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#5 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~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A84630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91238D8" w14:textId="1B4B3E54" w:rsidR="00E834CE" w:rsidRPr="00E97A7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2.1</w:t>
      </w:r>
    </w:p>
    <w:p w14:paraId="7765B3C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initial</w:t>
      </w:r>
    </w:p>
    <w:p w14:paraId="13AF32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</w:p>
    <w:p w14:paraId="433A34E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2B0D781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$srandom(33985);</w:t>
      </w:r>
    </w:p>
    <w:p w14:paraId="3EC5A85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repeat(4)</w:t>
      </w:r>
    </w:p>
    <w:p w14:paraId="3FD8914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begin</w:t>
      </w:r>
    </w:p>
    <w:p w14:paraId="724987E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inp = inp + 4'b0001;</w:t>
      </w:r>
    </w:p>
    <w:p w14:paraId="09EEF36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repeat($urandom_range(50,0))</w:t>
      </w:r>
    </w:p>
    <w:p w14:paraId="2EFD35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begin</w:t>
      </w:r>
    </w:p>
    <w:p w14:paraId="4301E81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button = $random;</w:t>
      </w:r>
    </w:p>
    <w:p w14:paraId="3B31D94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02695C9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end</w:t>
      </w:r>
    </w:p>
    <w:p w14:paraId="1F12315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button = 1;</w:t>
      </w:r>
    </w:p>
    <w:p w14:paraId="17FB0B8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4F62A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2D24F5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repeat($urandom_range(50,0))</w:t>
      </w:r>
    </w:p>
    <w:p w14:paraId="193A2BF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begin</w:t>
      </w:r>
    </w:p>
    <w:p w14:paraId="67B5BCD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button = $random;</w:t>
      </w:r>
    </w:p>
    <w:p w14:paraId="421B0FC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3380B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end</w:t>
      </w:r>
    </w:p>
    <w:p w14:paraId="3825886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button = 0;</w:t>
      </w:r>
    </w:p>
    <w:p w14:paraId="12EF927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BD3BDE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end</w:t>
      </w:r>
    </w:p>
    <w:p w14:paraId="5528D70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1ACE036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C657AC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repeat($urandom_range(50,0))</w:t>
      </w:r>
    </w:p>
    <w:p w14:paraId="0C2427D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begin</w:t>
      </w:r>
    </w:p>
    <w:p w14:paraId="621A47F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reset = $random;</w:t>
      </w:r>
    </w:p>
    <w:p w14:paraId="254894A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6C7C433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end</w:t>
      </w:r>
    </w:p>
    <w:p w14:paraId="762B0EF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reset = 1;</w:t>
      </w:r>
    </w:p>
    <w:p w14:paraId="6CEAC55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5A28FA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86EA24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repeat($urandom_range(50,0))</w:t>
      </w:r>
    </w:p>
    <w:p w14:paraId="57558EF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begin</w:t>
      </w:r>
    </w:p>
    <w:p w14:paraId="085A3A2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reset = $random;</w:t>
      </w:r>
    </w:p>
    <w:p w14:paraId="08769CC7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49693C42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65399221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0;</w:t>
      </w:r>
    </w:p>
    <w:p w14:paraId="6CA7FA3D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</w:p>
    <w:p w14:paraId="50A513E7" w14:textId="77777777" w:rsidR="00E834CE" w:rsidRPr="00370DF9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</w:p>
    <w:p w14:paraId="6C37E751" w14:textId="74D56EAF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счета для фильтров дребезга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изменен на значение 8, а параметр для делителя частоты изменен на значение 6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7DDA8E" w14:textId="38783054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. Вводятся 4 значения с помощью нажатия на кнопку,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значения, история ввода сохраняется в регистре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6171" w14:textId="39A4BA0C" w:rsidR="000C5DF0" w:rsidRDefault="001F0DEA" w:rsidP="000C5DF0">
      <w:pPr>
        <w:pStyle w:val="aa"/>
      </w:pPr>
      <w:r w:rsidRPr="001F0DEA">
        <w:rPr>
          <w:noProof/>
          <w:lang w:eastAsia="ru-RU"/>
        </w:rPr>
        <w:lastRenderedPageBreak/>
        <w:drawing>
          <wp:inline distT="0" distB="0" distL="0" distR="0" wp14:anchorId="7F82222A" wp14:editId="0A6899CE">
            <wp:extent cx="6120765" cy="25452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B76" w14:textId="1511F19A" w:rsidR="00465AD5" w:rsidRDefault="00B47A17" w:rsidP="00465AD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6C6E70E4" w14:textId="77777777" w:rsidR="00465AD5" w:rsidRDefault="00465AD5" w:rsidP="00465AD5">
      <w:pPr>
        <w:pStyle w:val="aa"/>
        <w:jc w:val="left"/>
      </w:pPr>
    </w:p>
    <w:p w14:paraId="212B32DF" w14:textId="77777777" w:rsidR="00465AD5" w:rsidRDefault="00465AD5" w:rsidP="00465AD5">
      <w:pPr>
        <w:pStyle w:val="aa"/>
        <w:jc w:val="left"/>
      </w:pPr>
    </w:p>
    <w:p w14:paraId="114B5DD8" w14:textId="77777777" w:rsidR="00465AD5" w:rsidRDefault="00465AD5" w:rsidP="00465AD5">
      <w:pPr>
        <w:pStyle w:val="aa"/>
        <w:jc w:val="left"/>
      </w:pPr>
    </w:p>
    <w:p w14:paraId="135BF03A" w14:textId="77777777" w:rsidR="00465AD5" w:rsidRDefault="00465AD5" w:rsidP="00465AD5">
      <w:pPr>
        <w:pStyle w:val="aa"/>
        <w:jc w:val="left"/>
      </w:pPr>
    </w:p>
    <w:p w14:paraId="491BA2DB" w14:textId="77777777" w:rsidR="00465AD5" w:rsidRDefault="00465AD5" w:rsidP="00465AD5">
      <w:pPr>
        <w:pStyle w:val="aa"/>
        <w:jc w:val="left"/>
      </w:pPr>
    </w:p>
    <w:p w14:paraId="444397D4" w14:textId="77777777" w:rsidR="00465AD5" w:rsidRDefault="00465AD5" w:rsidP="00465AD5">
      <w:pPr>
        <w:pStyle w:val="aa"/>
        <w:jc w:val="left"/>
      </w:pPr>
    </w:p>
    <w:p w14:paraId="70248BE9" w14:textId="77777777" w:rsidR="00465AD5" w:rsidRDefault="00465AD5" w:rsidP="00465AD5">
      <w:pPr>
        <w:pStyle w:val="aa"/>
        <w:jc w:val="left"/>
      </w:pPr>
    </w:p>
    <w:p w14:paraId="45185910" w14:textId="77777777" w:rsidR="00465AD5" w:rsidRDefault="00465AD5" w:rsidP="00465AD5">
      <w:pPr>
        <w:pStyle w:val="aa"/>
        <w:jc w:val="left"/>
      </w:pPr>
    </w:p>
    <w:p w14:paraId="521D988C" w14:textId="77777777" w:rsidR="00465AD5" w:rsidRDefault="00465AD5" w:rsidP="00465AD5">
      <w:pPr>
        <w:pStyle w:val="aa"/>
        <w:jc w:val="left"/>
      </w:pPr>
    </w:p>
    <w:p w14:paraId="5472159D" w14:textId="77777777" w:rsidR="00465AD5" w:rsidRDefault="00465AD5" w:rsidP="00465AD5">
      <w:pPr>
        <w:pStyle w:val="aa"/>
        <w:jc w:val="left"/>
      </w:pPr>
    </w:p>
    <w:p w14:paraId="37B4114F" w14:textId="77777777" w:rsidR="00465AD5" w:rsidRDefault="00465AD5" w:rsidP="00465AD5">
      <w:pPr>
        <w:pStyle w:val="aa"/>
        <w:jc w:val="left"/>
      </w:pPr>
    </w:p>
    <w:p w14:paraId="1208E569" w14:textId="77777777" w:rsidR="00465AD5" w:rsidRDefault="00465AD5" w:rsidP="00465AD5">
      <w:pPr>
        <w:pStyle w:val="aa"/>
        <w:jc w:val="left"/>
      </w:pPr>
    </w:p>
    <w:p w14:paraId="7A559B39" w14:textId="77777777" w:rsidR="00465AD5" w:rsidRDefault="00465AD5" w:rsidP="00465AD5">
      <w:pPr>
        <w:pStyle w:val="aa"/>
        <w:jc w:val="left"/>
      </w:pPr>
    </w:p>
    <w:p w14:paraId="4130CEBF" w14:textId="77777777" w:rsidR="00465AD5" w:rsidRDefault="00465AD5" w:rsidP="00465AD5">
      <w:pPr>
        <w:pStyle w:val="aa"/>
        <w:jc w:val="left"/>
      </w:pPr>
    </w:p>
    <w:p w14:paraId="087844BD" w14:textId="77777777" w:rsidR="00465AD5" w:rsidRDefault="00465AD5" w:rsidP="00465AD5">
      <w:pPr>
        <w:pStyle w:val="aa"/>
        <w:jc w:val="left"/>
      </w:pPr>
    </w:p>
    <w:p w14:paraId="08F1C7DA" w14:textId="77777777" w:rsidR="00465AD5" w:rsidRDefault="00465AD5" w:rsidP="00465AD5">
      <w:pPr>
        <w:pStyle w:val="aa"/>
        <w:jc w:val="left"/>
      </w:pPr>
    </w:p>
    <w:p w14:paraId="3E8CAAB8" w14:textId="77777777" w:rsidR="00465AD5" w:rsidRDefault="00465AD5" w:rsidP="00465AD5">
      <w:pPr>
        <w:pStyle w:val="aa"/>
        <w:jc w:val="left"/>
      </w:pPr>
    </w:p>
    <w:p w14:paraId="357E3B59" w14:textId="77777777" w:rsidR="00465AD5" w:rsidRDefault="00465AD5" w:rsidP="00465AD5">
      <w:pPr>
        <w:pStyle w:val="aa"/>
        <w:jc w:val="left"/>
      </w:pPr>
    </w:p>
    <w:p w14:paraId="46B78B64" w14:textId="77777777" w:rsidR="00465AD5" w:rsidRPr="00465AD5" w:rsidRDefault="00465AD5" w:rsidP="00465AD5">
      <w:pPr>
        <w:pStyle w:val="aa"/>
        <w:jc w:val="left"/>
      </w:pPr>
    </w:p>
    <w:p w14:paraId="7A9DA760" w14:textId="7D5614CF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4" w:name="_Toc159541111"/>
      <w:r w:rsidRPr="00D131F3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ФАЙЛА ПРОЕКТНЫХ ОГРАНИЧЕНИЙ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 xml:space="preserve"> И ЗАГРУЗКА ПРОЕКТА НА 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ОТЛАДОЧНУЮ 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>ПЛАТУ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D16D3" w:rsidRPr="00FD16D3">
        <w:rPr>
          <w:rFonts w:ascii="Times New Roman" w:hAnsi="Times New Roman" w:cs="Times New Roman"/>
          <w:sz w:val="36"/>
          <w:szCs w:val="36"/>
          <w:lang w:val="ru-RU"/>
        </w:rPr>
        <w:t>NEXYS A7</w:t>
      </w:r>
      <w:bookmarkEnd w:id="84"/>
    </w:p>
    <w:p w14:paraId="2A81D32F" w14:textId="201D5BA1" w:rsidR="00D131F3" w:rsidRDefault="00D131F3" w:rsidP="0063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4C56311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sys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[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get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}]</w:t>
      </w:r>
    </w:p>
    <w:p w14:paraId="21A54BD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D5A67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{clk}]</w:t>
      </w:r>
    </w:p>
    <w:p w14:paraId="703A78D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E3 [get_ports {clk}]</w:t>
      </w:r>
    </w:p>
    <w:p w14:paraId="0E3A0DC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J15 [get_ports {digit[0]}]</w:t>
      </w:r>
    </w:p>
    <w:p w14:paraId="6430082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{digit[0]}]</w:t>
      </w:r>
    </w:p>
    <w:p w14:paraId="21B6819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L16 [get_ports {digit[1]}]</w:t>
      </w:r>
    </w:p>
    <w:p w14:paraId="719720A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{digit[1]}]</w:t>
      </w:r>
    </w:p>
    <w:p w14:paraId="4DCC7E7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M13 [get_ports {digit[2]}]</w:t>
      </w:r>
    </w:p>
    <w:p w14:paraId="391D306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{digit[2]}]</w:t>
      </w:r>
    </w:p>
    <w:p w14:paraId="2FD641E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R15 [get_ports {digit[3]}]</w:t>
      </w:r>
    </w:p>
    <w:p w14:paraId="49AAD8AA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{digit[3]}]</w:t>
      </w:r>
    </w:p>
    <w:p w14:paraId="3A46CFD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N17 [get_ports {en_button}]</w:t>
      </w:r>
    </w:p>
    <w:p w14:paraId="49A156E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{en_button}]</w:t>
      </w:r>
    </w:p>
    <w:p w14:paraId="4D8EF0C5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PACKAGE_PIN M17 [get_ports {reset}]</w:t>
      </w:r>
    </w:p>
    <w:p w14:paraId="7FB7992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IOSTANDARD LVCMOS33 [get_ports {reset}]</w:t>
      </w:r>
    </w:p>
    <w:p w14:paraId="417B09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2DB3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J17} [get_ports {an[0]}]</w:t>
      </w:r>
    </w:p>
    <w:p w14:paraId="7C4502F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J18} [get_ports {an[1]}]</w:t>
      </w:r>
    </w:p>
    <w:p w14:paraId="7E90989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T9} [get_ports {an[2]}]</w:t>
      </w:r>
    </w:p>
    <w:p w14:paraId="0C3A123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J14} [get_ports {an[3]}]</w:t>
      </w:r>
    </w:p>
    <w:p w14:paraId="2AD8FD6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P14} [get_ports {an[4]}]</w:t>
      </w:r>
    </w:p>
    <w:p w14:paraId="617F22B3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T14} [get_ports {an[5]}]</w:t>
      </w:r>
    </w:p>
    <w:p w14:paraId="656320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K2} [get_ports {an[6]}]</w:t>
      </w:r>
    </w:p>
    <w:p w14:paraId="26E817D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U13} [get_ports {an[7]}]</w:t>
      </w:r>
    </w:p>
    <w:p w14:paraId="30E7219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DFF93B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T10} [get_ports {seg[0]}]</w:t>
      </w:r>
    </w:p>
    <w:p w14:paraId="40D1A2E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R10} [get_ports {seg[1]}]</w:t>
      </w:r>
    </w:p>
    <w:p w14:paraId="45624058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K16} [get_ports {seg[2]}]</w:t>
      </w:r>
    </w:p>
    <w:p w14:paraId="654B490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K13} [get_ports {seg[3]}]</w:t>
      </w:r>
    </w:p>
    <w:p w14:paraId="143E9D2B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P15} [get_ports {seg[4]}]</w:t>
      </w:r>
    </w:p>
    <w:p w14:paraId="4120307F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T11} [get_ports {seg[5]}]</w:t>
      </w:r>
    </w:p>
    <w:p w14:paraId="0AF1429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L18} [get_ports {seg[6]}]</w:t>
      </w:r>
    </w:p>
    <w:p w14:paraId="53F6B093" w14:textId="39E0EBEB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set_property -dict {IOSTANDARD LVCMOS33 PACKAGE_PIN H15} [get_ports {seg[7]}]</w:t>
      </w:r>
    </w:p>
    <w:p w14:paraId="57D0F895" w14:textId="425EA0D7" w:rsidR="00D131F3" w:rsidRPr="00FD16D3" w:rsidRDefault="00465AD5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6D3">
        <w:rPr>
          <w:rFonts w:ascii="Times New Roman" w:hAnsi="Times New Roman" w:cs="Times New Roman"/>
          <w:sz w:val="28"/>
          <w:szCs w:val="28"/>
          <w:lang w:val="ru-RU"/>
        </w:rPr>
        <w:t>Файл с расширением .bit сгенерирован и загружен на плату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FD16D3">
        <w:rPr>
          <w:rFonts w:ascii="Times New Roman" w:hAnsi="Times New Roman" w:cs="Times New Roman"/>
          <w:sz w:val="28"/>
          <w:szCs w:val="28"/>
          <w:lang w:val="ru-RU"/>
        </w:rPr>
        <w:t>. Результат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 </w:t>
      </w:r>
      <w:r w:rsidR="00FD16D3"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>исунке 3.1.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работает </w:t>
      </w:r>
      <w:r w:rsidR="00CD10A8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лабораторной работы, значения на дисплее корректно отображаются.</w:t>
      </w:r>
    </w:p>
    <w:p w14:paraId="7BC44A4B" w14:textId="0EC30A78" w:rsidR="00FD16D3" w:rsidRDefault="00FD16D3" w:rsidP="00FD16D3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891D967" wp14:editId="0ED38FCB">
            <wp:extent cx="3946600" cy="3325091"/>
            <wp:effectExtent l="0" t="0" r="0" b="8890"/>
            <wp:docPr id="12" name="Рисунок 12" descr="C:\Users\user\Desktop\3d572a3b-f25d-4ff3-903a-614eb1ad03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d572a3b-f25d-4ff3-903a-614eb1ad0303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2" cy="33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03D" w14:textId="4DDF7B84" w:rsidR="00FD16D3" w:rsidRDefault="00FD16D3" w:rsidP="00FD16D3">
      <w:pPr>
        <w:pStyle w:val="aa"/>
      </w:pPr>
      <w:r>
        <w:t xml:space="preserve">Рисунок </w:t>
      </w:r>
      <w:r w:rsidRPr="00FD16D3">
        <w:t>3</w:t>
      </w:r>
      <w:r>
        <w:t xml:space="preserve">.1 — Верификация на </w:t>
      </w:r>
      <w:r w:rsidRPr="00FD16D3">
        <w:t>отладочной плате Nexys A7</w:t>
      </w:r>
    </w:p>
    <w:p w14:paraId="30A2D277" w14:textId="77777777" w:rsidR="00E834CE" w:rsidRPr="00FD16D3" w:rsidRDefault="00E834CE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0F0AD" w14:textId="77777777" w:rsidR="00E834CE" w:rsidRPr="00465AD5" w:rsidRDefault="00E834CE" w:rsidP="00D131F3">
      <w:pPr>
        <w:rPr>
          <w:lang w:val="ru-RU"/>
        </w:rPr>
      </w:pPr>
    </w:p>
    <w:p w14:paraId="14CE07B3" w14:textId="77777777" w:rsidR="00E834CE" w:rsidRPr="00465AD5" w:rsidRDefault="00E834CE" w:rsidP="00D131F3">
      <w:pPr>
        <w:rPr>
          <w:lang w:val="ru-RU"/>
        </w:rPr>
      </w:pPr>
    </w:p>
    <w:p w14:paraId="3F0A1267" w14:textId="77777777" w:rsidR="00E834CE" w:rsidRDefault="00E834CE" w:rsidP="00D131F3">
      <w:pPr>
        <w:rPr>
          <w:lang w:val="ru-RU"/>
        </w:rPr>
      </w:pPr>
    </w:p>
    <w:p w14:paraId="382D02C2" w14:textId="77777777" w:rsidR="00CD10A8" w:rsidRDefault="00CD10A8" w:rsidP="00D131F3">
      <w:pPr>
        <w:rPr>
          <w:lang w:val="ru-RU"/>
        </w:rPr>
      </w:pPr>
    </w:p>
    <w:p w14:paraId="31CF97DB" w14:textId="77777777" w:rsidR="00CD10A8" w:rsidRDefault="00CD10A8" w:rsidP="00D131F3">
      <w:pPr>
        <w:rPr>
          <w:lang w:val="ru-RU"/>
        </w:rPr>
      </w:pPr>
    </w:p>
    <w:p w14:paraId="04017C10" w14:textId="77777777" w:rsidR="00CD10A8" w:rsidRDefault="00CD10A8" w:rsidP="00D131F3">
      <w:pPr>
        <w:rPr>
          <w:lang w:val="ru-RU"/>
        </w:rPr>
      </w:pPr>
    </w:p>
    <w:p w14:paraId="48011A93" w14:textId="77777777" w:rsidR="00CD10A8" w:rsidRDefault="00CD10A8" w:rsidP="00D131F3">
      <w:pPr>
        <w:rPr>
          <w:lang w:val="ru-RU"/>
        </w:rPr>
      </w:pPr>
    </w:p>
    <w:p w14:paraId="6D654C0C" w14:textId="77777777" w:rsidR="00CD10A8" w:rsidRDefault="00CD10A8" w:rsidP="00D131F3">
      <w:pPr>
        <w:rPr>
          <w:lang w:val="ru-RU"/>
        </w:rPr>
      </w:pPr>
    </w:p>
    <w:p w14:paraId="62234F9C" w14:textId="77777777" w:rsidR="00CD10A8" w:rsidRDefault="00CD10A8" w:rsidP="00D131F3">
      <w:pPr>
        <w:rPr>
          <w:lang w:val="ru-RU"/>
        </w:rPr>
      </w:pPr>
    </w:p>
    <w:p w14:paraId="7FB1F932" w14:textId="77777777" w:rsidR="00CD10A8" w:rsidRDefault="00CD10A8" w:rsidP="00D131F3">
      <w:pPr>
        <w:rPr>
          <w:lang w:val="ru-RU"/>
        </w:rPr>
      </w:pPr>
    </w:p>
    <w:p w14:paraId="69B1F816" w14:textId="77777777" w:rsidR="00CD10A8" w:rsidRDefault="00CD10A8" w:rsidP="00D131F3">
      <w:pPr>
        <w:rPr>
          <w:lang w:val="ru-RU"/>
        </w:rPr>
      </w:pPr>
    </w:p>
    <w:p w14:paraId="6B8746D2" w14:textId="77777777" w:rsidR="00CD10A8" w:rsidRDefault="00CD10A8" w:rsidP="00D131F3">
      <w:pPr>
        <w:rPr>
          <w:lang w:val="ru-RU"/>
        </w:rPr>
      </w:pPr>
    </w:p>
    <w:p w14:paraId="3FB4D688" w14:textId="77777777" w:rsidR="00CD10A8" w:rsidRPr="00465AD5" w:rsidRDefault="00CD10A8" w:rsidP="00D131F3">
      <w:pPr>
        <w:rPr>
          <w:lang w:val="ru-RU"/>
        </w:rPr>
      </w:pPr>
    </w:p>
    <w:p w14:paraId="0070D1FD" w14:textId="77777777" w:rsidR="00E834CE" w:rsidRPr="00465AD5" w:rsidRDefault="00E834CE" w:rsidP="00D131F3">
      <w:pPr>
        <w:rPr>
          <w:lang w:val="ru-RU"/>
        </w:rPr>
      </w:pPr>
    </w:p>
    <w:p w14:paraId="03347EDA" w14:textId="77777777" w:rsidR="00E834CE" w:rsidRPr="00465AD5" w:rsidRDefault="00E834CE" w:rsidP="00D131F3">
      <w:pPr>
        <w:rPr>
          <w:lang w:val="ru-RU"/>
        </w:rPr>
      </w:pPr>
    </w:p>
    <w:p w14:paraId="0FF31D8F" w14:textId="77777777" w:rsidR="00E834CE" w:rsidRPr="00465AD5" w:rsidRDefault="00E834CE" w:rsidP="00D131F3">
      <w:pPr>
        <w:rPr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541112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85"/>
    </w:p>
    <w:p w14:paraId="1B0AFD24" w14:textId="2FB9AE54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семисегментных индикаторов, изучены основные особенности считывания сигнала с физического устройства ввода — кнопки.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541113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86"/>
    </w:p>
    <w:p w14:paraId="0C8E0650" w14:textId="7CFB7AEC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Л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1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58A27F" w14:textId="61502F28" w:rsidR="00B71F6D" w:rsidRPr="00783AE2" w:rsidRDefault="00B71F6D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электрон. опт. диск (CD-ROM).</w:t>
      </w:r>
    </w:p>
    <w:p w14:paraId="493C3F1D" w14:textId="56A7BC4C" w:rsidR="00071307" w:rsidRPr="00B71F6D" w:rsidRDefault="00687CA9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 Тарасов И.Е. ПЛИС Xilinx. Языки описания аппаратуры VHDL и Verilog,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sectPr w:rsidR="00071307" w:rsidRPr="00B71F6D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60635" w14:textId="77777777" w:rsidR="004D3B03" w:rsidRDefault="004D3B03" w:rsidP="007C6B97">
      <w:pPr>
        <w:spacing w:after="0" w:line="240" w:lineRule="auto"/>
      </w:pPr>
      <w:r>
        <w:separator/>
      </w:r>
    </w:p>
  </w:endnote>
  <w:endnote w:type="continuationSeparator" w:id="0">
    <w:p w14:paraId="5C4D134A" w14:textId="77777777" w:rsidR="004D3B03" w:rsidRDefault="004D3B03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567F71" w:rsidRPr="00D11291" w:rsidRDefault="00567F71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D33E6B" w:rsidRPr="00D33E6B">
          <w:rPr>
            <w:rFonts w:ascii="Times New Roman" w:hAnsi="Times New Roman" w:cs="Times New Roman"/>
            <w:noProof/>
            <w:sz w:val="22"/>
            <w:szCs w:val="22"/>
            <w:lang w:val="ru-RU"/>
          </w:rPr>
          <w:t>12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567F71" w:rsidRDefault="00567F7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4AA4B" w14:textId="77777777" w:rsidR="004D3B03" w:rsidRDefault="004D3B03" w:rsidP="007C6B97">
      <w:pPr>
        <w:spacing w:after="0" w:line="240" w:lineRule="auto"/>
      </w:pPr>
      <w:r>
        <w:separator/>
      </w:r>
    </w:p>
  </w:footnote>
  <w:footnote w:type="continuationSeparator" w:id="0">
    <w:p w14:paraId="0E50CA43" w14:textId="77777777" w:rsidR="004D3B03" w:rsidRDefault="004D3B03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D15EC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4D3B03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319EF"/>
    <w:rsid w:val="006363D3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65AA"/>
    <w:rsid w:val="007C6B97"/>
    <w:rsid w:val="007E1CF7"/>
    <w:rsid w:val="007E24F3"/>
    <w:rsid w:val="007E5AE6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7806"/>
    <w:rsid w:val="00851DC4"/>
    <w:rsid w:val="0085545F"/>
    <w:rsid w:val="0086517B"/>
    <w:rsid w:val="00873C6C"/>
    <w:rsid w:val="00884973"/>
    <w:rsid w:val="00891EDC"/>
    <w:rsid w:val="008A366A"/>
    <w:rsid w:val="008A39CD"/>
    <w:rsid w:val="008A5AF8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9384D"/>
    <w:rsid w:val="00A9647F"/>
    <w:rsid w:val="00A979ED"/>
    <w:rsid w:val="00AA79B7"/>
    <w:rsid w:val="00AB2172"/>
    <w:rsid w:val="00AE0F2A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33E6B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97A7C"/>
    <w:rsid w:val="00EA081B"/>
    <w:rsid w:val="00EA6461"/>
    <w:rsid w:val="00EB4604"/>
    <w:rsid w:val="00EC3AB8"/>
    <w:rsid w:val="00EC435C"/>
    <w:rsid w:val="00ED31DF"/>
    <w:rsid w:val="00ED58B8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vk.com/away.php?utf=1&amp;to=https%3A%2F%2Fonline-edu.mirea.ru%2Fmod%2Fresource%2Fview.php%3Fid%3D413209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16D8D-78B6-43DB-8231-7D64D053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87</cp:revision>
  <cp:lastPrinted>2023-12-14T11:29:00Z</cp:lastPrinted>
  <dcterms:created xsi:type="dcterms:W3CDTF">2023-09-20T20:19:00Z</dcterms:created>
  <dcterms:modified xsi:type="dcterms:W3CDTF">2024-03-01T11:29:00Z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